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tabs>
          <w:tab w:val="left" w:leader="none" w:pos="2023"/>
        </w:tabs>
        <w:spacing w:line="276" w:lineRule="auto"/>
        <w:rPr>
          <w:rFonts w:ascii="Calibri" w:cs="Calibri" w:eastAsia="Calibri" w:hAnsi="Calibri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center"/>
        <w:rPr>
          <w:rFonts w:ascii="Calibri" w:cs="Calibri" w:eastAsia="Calibri" w:hAnsi="Calibri"/>
          <w:b w:val="1"/>
          <w:bCs w:val="1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sz w:val="28"/>
          <w:szCs w:val="28"/>
          <w:rtl w:val="0"/>
        </w:rPr>
        <w:t xml:space="preserve">FIȘA DISCIPLINEI</w:t>
      </w:r>
    </w:p>
    <w:p w:rsidR="00000000" w:rsidDel="00000000" w:rsidP="00000000" w:rsidRDefault="00000000" w:rsidRPr="00000000" w14:paraId="00000003">
      <w:pPr>
        <w:rPr>
          <w:rFonts w:ascii="Calibri" w:cs="Calibri" w:eastAsia="Calibri" w:hAnsi="Calibri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Date despre program</w:t>
      </w:r>
    </w:p>
    <w:tbl>
      <w:tblPr>
        <w:tblStyle w:val="Table1"/>
        <w:tblW w:w="9344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564"/>
        <w:gridCol w:w="5780"/>
        <w:tblGridChange w:id="0">
          <w:tblGrid>
            <w:gridCol w:w="3564"/>
            <w:gridCol w:w="5780"/>
          </w:tblGrid>
        </w:tblGridChange>
      </w:tblGrid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1"/>
              <w:numPr>
                <w:ilvl w:val="1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36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Instituția de învățământ superior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Universitatea de Vest din Timișoara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1.2 Facultatea / Departamentul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Psihologie și Științe ale educației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1.3 Departamentul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Științe ale educației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1.4 Domeniul de studii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Științe ale educației 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1.5 Ciclul de studii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Masterat 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1.6 Programul de studii / Calificarea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Consiliere si integrare educațională </w:t>
            </w:r>
          </w:p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Ocupații care pot fi practicate pe piața muncii:</w:t>
            </w:r>
          </w:p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● ESCO 2359.8 Consilier educațional</w:t>
            </w:r>
          </w:p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● ESCO 2352.1 Profesor pentru elevi cu nevoi speciale.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4">
      <w:pPr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Date despre disciplină</w:t>
      </w:r>
    </w:p>
    <w:tbl>
      <w:tblPr>
        <w:tblStyle w:val="Table2"/>
        <w:tblW w:w="9389.0" w:type="dxa"/>
        <w:jc w:val="left"/>
        <w:tblInd w:w="-34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843"/>
        <w:gridCol w:w="567"/>
        <w:gridCol w:w="1418"/>
        <w:gridCol w:w="283"/>
        <w:gridCol w:w="567"/>
        <w:gridCol w:w="1651"/>
        <w:gridCol w:w="591"/>
        <w:gridCol w:w="1839"/>
        <w:gridCol w:w="630"/>
        <w:tblGridChange w:id="0">
          <w:tblGrid>
            <w:gridCol w:w="1843"/>
            <w:gridCol w:w="567"/>
            <w:gridCol w:w="1418"/>
            <w:gridCol w:w="283"/>
            <w:gridCol w:w="567"/>
            <w:gridCol w:w="1651"/>
            <w:gridCol w:w="591"/>
            <w:gridCol w:w="1839"/>
            <w:gridCol w:w="630"/>
          </w:tblGrid>
        </w:tblGridChange>
      </w:tblGrid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2.1 Denumirea disciplinei</w:t>
            </w:r>
          </w:p>
        </w:tc>
        <w:tc>
          <w:tcPr>
            <w:gridSpan w:val="6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Consilierul educațional – competențe și deontologie profesională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2.2 Titularul activităților de curs</w:t>
            </w:r>
          </w:p>
        </w:tc>
        <w:tc>
          <w:tcPr>
            <w:gridSpan w:val="6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C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onf. univ. dr Otilia Bersan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2.3 Titularul activităților de seminar</w:t>
            </w:r>
          </w:p>
        </w:tc>
        <w:tc>
          <w:tcPr>
            <w:gridSpan w:val="6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Lect. asoc. Melania Dragomir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2.4 Anul de studiu</w:t>
            </w:r>
          </w:p>
        </w:tc>
        <w:tc>
          <w:tcPr/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-108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2.5 Semestrul</w:t>
            </w:r>
          </w:p>
        </w:tc>
        <w:tc>
          <w:tcPr/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II</w:t>
            </w:r>
          </w:p>
        </w:tc>
        <w:tc>
          <w:tcPr/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-108" w:hanging="108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2.6 Tipul de evaluare</w:t>
            </w:r>
          </w:p>
        </w:tc>
        <w:tc>
          <w:tcPr/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</w:t>
            </w:r>
          </w:p>
        </w:tc>
        <w:tc>
          <w:tcPr/>
          <w:p w:rsidR="00000000" w:rsidDel="00000000" w:rsidP="00000000" w:rsidRDefault="00000000" w:rsidRPr="00000000" w14:paraId="0000003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-108" w:hanging="42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2.7 Regimul disciplinei</w:t>
            </w:r>
          </w:p>
        </w:tc>
        <w:tc>
          <w:tcPr/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DS;DOP</w:t>
            </w:r>
          </w:p>
        </w:tc>
      </w:tr>
    </w:tbl>
    <w:p w:rsidR="00000000" w:rsidDel="00000000" w:rsidP="00000000" w:rsidRDefault="00000000" w:rsidRPr="00000000" w14:paraId="0000003A">
      <w:pPr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Timpul total estimat (ore pe semestru al activităților didactice)</w:t>
      </w:r>
    </w:p>
    <w:tbl>
      <w:tblPr>
        <w:tblStyle w:val="Table3"/>
        <w:tblW w:w="9354.999999999998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663"/>
        <w:gridCol w:w="440"/>
        <w:gridCol w:w="295"/>
        <w:gridCol w:w="1681"/>
        <w:gridCol w:w="440"/>
        <w:gridCol w:w="2312"/>
        <w:gridCol w:w="524"/>
        <w:tblGridChange w:id="0">
          <w:tblGrid>
            <w:gridCol w:w="3663"/>
            <w:gridCol w:w="440"/>
            <w:gridCol w:w="295"/>
            <w:gridCol w:w="1681"/>
            <w:gridCol w:w="440"/>
            <w:gridCol w:w="2312"/>
            <w:gridCol w:w="52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3.1 Număr de ore pe săptămână</w:t>
            </w:r>
          </w:p>
        </w:tc>
        <w:tc>
          <w:tcPr/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din care: 3.2 curs</w:t>
            </w:r>
          </w:p>
        </w:tc>
        <w:tc>
          <w:tcPr/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</w:t>
            </w:r>
          </w:p>
        </w:tc>
        <w:tc>
          <w:tcPr/>
          <w:p w:rsidR="00000000" w:rsidDel="00000000" w:rsidP="00000000" w:rsidRDefault="00000000" w:rsidRPr="00000000" w14:paraId="0000004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3.3 seminar/laborator</w:t>
            </w:r>
          </w:p>
        </w:tc>
        <w:tc>
          <w:tcPr/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3.4 Total ore din planul de învățământ</w:t>
            </w:r>
          </w:p>
        </w:tc>
        <w:tc>
          <w:tcPr/>
          <w:p w:rsidR="00000000" w:rsidDel="00000000" w:rsidP="00000000" w:rsidRDefault="00000000" w:rsidRPr="00000000" w14:paraId="0000004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28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din care: 3.5 curs</w:t>
            </w:r>
          </w:p>
        </w:tc>
        <w:tc>
          <w:tcPr/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14</w:t>
            </w:r>
          </w:p>
        </w:tc>
        <w:tc>
          <w:tcPr/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3.6 seminar/laborator</w:t>
            </w:r>
          </w:p>
        </w:tc>
        <w:tc>
          <w:tcPr/>
          <w:p w:rsidR="00000000" w:rsidDel="00000000" w:rsidP="00000000" w:rsidRDefault="00000000" w:rsidRPr="00000000" w14:paraId="0000004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14</w:t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4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Distribuția fondului de timp:</w:t>
            </w:r>
          </w:p>
        </w:tc>
        <w:tc>
          <w:tcPr/>
          <w:p w:rsidR="00000000" w:rsidDel="00000000" w:rsidP="00000000" w:rsidRDefault="00000000" w:rsidRPr="00000000" w14:paraId="0000005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ore</w:t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5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Studiul după manual, suport de curs, bibliografie și notițe</w:t>
            </w:r>
          </w:p>
        </w:tc>
        <w:tc>
          <w:tcPr/>
          <w:p w:rsidR="00000000" w:rsidDel="00000000" w:rsidP="00000000" w:rsidRDefault="00000000" w:rsidRPr="00000000" w14:paraId="0000005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25</w:t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5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Documentare suplimentară în bibliotecă, pe platformele electronice de specialitate / pe teren</w:t>
            </w:r>
          </w:p>
        </w:tc>
        <w:tc>
          <w:tcPr/>
          <w:p w:rsidR="00000000" w:rsidDel="00000000" w:rsidP="00000000" w:rsidRDefault="00000000" w:rsidRPr="00000000" w14:paraId="0000005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30</w:t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5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Pregătire seminare / laboratoare, teme, referate, portofolii și eseuri</w:t>
            </w:r>
          </w:p>
        </w:tc>
        <w:tc>
          <w:tcPr/>
          <w:p w:rsidR="00000000" w:rsidDel="00000000" w:rsidP="00000000" w:rsidRDefault="00000000" w:rsidRPr="00000000" w14:paraId="0000006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20</w:t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6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Tutorat</w:t>
            </w:r>
          </w:p>
        </w:tc>
        <w:tc>
          <w:tcPr/>
          <w:p w:rsidR="00000000" w:rsidDel="00000000" w:rsidP="00000000" w:rsidRDefault="00000000" w:rsidRPr="00000000" w14:paraId="0000006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6</w:t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6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Examinări</w:t>
            </w:r>
          </w:p>
        </w:tc>
        <w:tc>
          <w:tcPr/>
          <w:p w:rsidR="00000000" w:rsidDel="00000000" w:rsidP="00000000" w:rsidRDefault="00000000" w:rsidRPr="00000000" w14:paraId="0000007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</w:t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7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Alte activități</w:t>
            </w:r>
          </w:p>
        </w:tc>
        <w:tc>
          <w:tcPr/>
          <w:p w:rsidR="00000000" w:rsidDel="00000000" w:rsidP="00000000" w:rsidRDefault="00000000" w:rsidRPr="00000000" w14:paraId="0000007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7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3.7 Total ore studiu individual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7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40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7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3.8 Total ore pe semestru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7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125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3.9 Numărul de credite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8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5</w:t>
            </w:r>
          </w:p>
        </w:tc>
      </w:tr>
    </w:tbl>
    <w:p w:rsidR="00000000" w:rsidDel="00000000" w:rsidP="00000000" w:rsidRDefault="00000000" w:rsidRPr="00000000" w14:paraId="0000008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Precondiții (acolo unde este cazul)</w:t>
      </w:r>
    </w:p>
    <w:tbl>
      <w:tblPr>
        <w:tblStyle w:val="Table4"/>
        <w:tblW w:w="9389.0" w:type="dxa"/>
        <w:jc w:val="left"/>
        <w:tblInd w:w="-34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985"/>
        <w:gridCol w:w="7404"/>
        <w:tblGridChange w:id="0">
          <w:tblGrid>
            <w:gridCol w:w="1985"/>
            <w:gridCol w:w="740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4.1 de curriculum</w:t>
            </w:r>
          </w:p>
        </w:tc>
        <w:tc>
          <w:tcPr/>
          <w:p w:rsidR="00000000" w:rsidDel="00000000" w:rsidP="00000000" w:rsidRDefault="00000000" w:rsidRPr="00000000" w14:paraId="00000087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720" w:right="0" w:hanging="686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Parcurgerea și promovarea disciplinei 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Consiliere educațională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4.2 de competențe</w:t>
            </w:r>
          </w:p>
        </w:tc>
        <w:tc>
          <w:tcPr/>
          <w:p w:rsidR="00000000" w:rsidDel="00000000" w:rsidP="00000000" w:rsidRDefault="00000000" w:rsidRPr="00000000" w14:paraId="00000089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720" w:right="0" w:hanging="686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Condiții (acolo unde este cazul)</w:t>
      </w:r>
    </w:p>
    <w:tbl>
      <w:tblPr>
        <w:tblStyle w:val="Table5"/>
        <w:tblW w:w="9389.0" w:type="dxa"/>
        <w:jc w:val="left"/>
        <w:tblInd w:w="-34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565"/>
        <w:gridCol w:w="4824"/>
        <w:tblGridChange w:id="0">
          <w:tblGrid>
            <w:gridCol w:w="4565"/>
            <w:gridCol w:w="482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5.1 de desfășurare a cursului</w:t>
            </w:r>
          </w:p>
        </w:tc>
        <w:tc>
          <w:tcPr/>
          <w:p w:rsidR="00000000" w:rsidDel="00000000" w:rsidP="00000000" w:rsidRDefault="00000000" w:rsidRPr="00000000" w14:paraId="0000008D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720" w:right="0" w:hanging="686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Cursul se va </w:t>
            </w: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desfășura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conform orarului 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5.2 de desfășurare a seminarului / laboratorului</w:t>
            </w:r>
          </w:p>
        </w:tc>
        <w:tc>
          <w:tcPr/>
          <w:p w:rsidR="00000000" w:rsidDel="00000000" w:rsidP="00000000" w:rsidRDefault="00000000" w:rsidRPr="00000000" w14:paraId="0000008F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720" w:right="0" w:hanging="686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Seminarul se va </w:t>
            </w: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desfășura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în spațiile UVT, sală cu min 30 de locuri </w:t>
            </w:r>
          </w:p>
        </w:tc>
      </w:tr>
    </w:tbl>
    <w:p w:rsidR="00000000" w:rsidDel="00000000" w:rsidP="00000000" w:rsidRDefault="00000000" w:rsidRPr="00000000" w14:paraId="00000090">
      <w:pPr>
        <w:spacing w:line="276" w:lineRule="auto"/>
        <w:rPr>
          <w:rFonts w:ascii="Calibri" w:cs="Calibri" w:eastAsia="Calibri" w:hAnsi="Calibri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Obiectivele disciplinei - rezultate așteptate ale învățării la formarea cărora contribuie parcurgerea și promovarea disciplinei</w:t>
      </w:r>
    </w:p>
    <w:tbl>
      <w:tblPr>
        <w:tblStyle w:val="Table6"/>
        <w:tblW w:w="9389.0" w:type="dxa"/>
        <w:jc w:val="left"/>
        <w:tblInd w:w="-34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699"/>
        <w:gridCol w:w="7690"/>
        <w:tblGridChange w:id="0">
          <w:tblGrid>
            <w:gridCol w:w="1699"/>
            <w:gridCol w:w="7690"/>
          </w:tblGrid>
        </w:tblGridChange>
      </w:tblGrid>
      <w:tr>
        <w:trPr>
          <w:cantSplit w:val="1"/>
          <w:trHeight w:val="89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9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Cunoștințe</w:t>
            </w:r>
          </w:p>
        </w:tc>
        <w:tc>
          <w:tcPr/>
          <w:p w:rsidR="00000000" w:rsidDel="00000000" w:rsidP="00000000" w:rsidRDefault="00000000" w:rsidRPr="00000000" w14:paraId="00000093">
            <w:pPr>
              <w:spacing w:after="280" w:lineRule="auto"/>
              <w:rPr>
                <w:rFonts w:ascii="Calibri" w:cs="Calibri" w:eastAsia="Calibri" w:hAnsi="Calibri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0"/>
                <w:szCs w:val="20"/>
                <w:rtl w:val="0"/>
              </w:rPr>
              <w:t xml:space="preserve">• Studentul va identifica și compara modalități de colaborare eficientă cu profesorii și alți membri ai personalului școlii.</w:t>
            </w:r>
          </w:p>
          <w:p w:rsidR="00000000" w:rsidDel="00000000" w:rsidP="00000000" w:rsidRDefault="00000000" w:rsidRPr="00000000" w14:paraId="00000094">
            <w:pPr>
              <w:spacing w:after="280" w:before="280" w:lineRule="auto"/>
              <w:rPr>
                <w:rFonts w:ascii="Calibri" w:cs="Calibri" w:eastAsia="Calibri" w:hAnsi="Calibri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0"/>
                <w:szCs w:val="20"/>
                <w:rtl w:val="0"/>
              </w:rPr>
              <w:t xml:space="preserve">• Studentul va identifica și compara schimbările legislative și metodologice în domeniul educației.</w:t>
            </w:r>
          </w:p>
          <w:p w:rsidR="00000000" w:rsidDel="00000000" w:rsidP="00000000" w:rsidRDefault="00000000" w:rsidRPr="00000000" w14:paraId="00000095">
            <w:pPr>
              <w:spacing w:after="280" w:before="280" w:lineRule="auto"/>
              <w:rPr>
                <w:rFonts w:ascii="Calibri" w:cs="Calibri" w:eastAsia="Calibri" w:hAnsi="Calibri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0"/>
                <w:szCs w:val="20"/>
                <w:rtl w:val="0"/>
              </w:rPr>
              <w:t xml:space="preserve">• Studentul va descrie influența acestor schimbări asupra mediului educațional și a practicilor curente.</w:t>
            </w:r>
          </w:p>
          <w:p w:rsidR="00000000" w:rsidDel="00000000" w:rsidP="00000000" w:rsidRDefault="00000000" w:rsidRPr="00000000" w14:paraId="00000096">
            <w:pPr>
              <w:spacing w:before="280" w:lineRule="auto"/>
              <w:rPr>
                <w:rFonts w:ascii="Calibri" w:cs="Calibri" w:eastAsia="Calibri" w:hAnsi="Calibri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0"/>
                <w:szCs w:val="20"/>
                <w:rtl w:val="0"/>
              </w:rPr>
              <w:t xml:space="preserve">• Studentul va descrie procesele de evaluare psihologică și educațională folosite pentru a oferi consiliere personalizată.</w:t>
            </w:r>
          </w:p>
        </w:tc>
      </w:tr>
      <w:tr>
        <w:trPr>
          <w:cantSplit w:val="1"/>
          <w:trHeight w:val="831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9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Abilități</w:t>
            </w:r>
          </w:p>
        </w:tc>
        <w:tc>
          <w:tcPr/>
          <w:p w:rsidR="00000000" w:rsidDel="00000000" w:rsidP="00000000" w:rsidRDefault="00000000" w:rsidRPr="00000000" w14:paraId="00000098">
            <w:pPr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• Studentul va putea să planifice și să colaboreze eficient cu personalul didactic</w:t>
            </w:r>
          </w:p>
          <w:p w:rsidR="00000000" w:rsidDel="00000000" w:rsidP="00000000" w:rsidRDefault="00000000" w:rsidRPr="00000000" w14:paraId="00000099">
            <w:pPr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pentru dezvoltarea și implementarea intervențiilor adecvate, asigurând astfel abordări</w:t>
            </w:r>
          </w:p>
          <w:p w:rsidR="00000000" w:rsidDel="00000000" w:rsidP="00000000" w:rsidRDefault="00000000" w:rsidRPr="00000000" w14:paraId="0000009A">
            <w:pPr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integrate în sprijinul elevilor.</w:t>
            </w:r>
          </w:p>
          <w:p w:rsidR="00000000" w:rsidDel="00000000" w:rsidP="00000000" w:rsidRDefault="00000000" w:rsidRPr="00000000" w14:paraId="0000009B">
            <w:pPr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• Studentul va putea să comunice transparent și coerent cu membrii sistemului de</w:t>
            </w:r>
          </w:p>
          <w:p w:rsidR="00000000" w:rsidDel="00000000" w:rsidP="00000000" w:rsidRDefault="00000000" w:rsidRPr="00000000" w14:paraId="0000009C">
            <w:pPr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sprijin, oferind informații relevante și colaborând pentru a dezvolta planuri și strategii</w:t>
            </w:r>
          </w:p>
          <w:p w:rsidR="00000000" w:rsidDel="00000000" w:rsidP="00000000" w:rsidRDefault="00000000" w:rsidRPr="00000000" w14:paraId="0000009D">
            <w:pPr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eficiente pentru elevi.</w:t>
            </w:r>
          </w:p>
          <w:p w:rsidR="00000000" w:rsidDel="00000000" w:rsidP="00000000" w:rsidRDefault="00000000" w:rsidRPr="00000000" w14:paraId="0000009E">
            <w:pPr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• Studentul va putea să promoveze și să inițieze inițiative de colaborare între</w:t>
            </w:r>
          </w:p>
          <w:p w:rsidR="00000000" w:rsidDel="00000000" w:rsidP="00000000" w:rsidRDefault="00000000" w:rsidRPr="00000000" w14:paraId="0000009F">
            <w:pPr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serviciile de consiliere și unitățile de învățământ, contribuind astfel la crearea unui mediu</w:t>
            </w:r>
          </w:p>
          <w:p w:rsidR="00000000" w:rsidDel="00000000" w:rsidP="00000000" w:rsidRDefault="00000000" w:rsidRPr="00000000" w14:paraId="000000A0">
            <w:pPr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educațional susținător.</w:t>
            </w:r>
          </w:p>
        </w:tc>
      </w:tr>
      <w:tr>
        <w:trPr>
          <w:cantSplit w:val="1"/>
          <w:trHeight w:val="984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A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Responsabilitate și autonomie</w:t>
            </w:r>
          </w:p>
        </w:tc>
        <w:tc>
          <w:tcPr/>
          <w:p w:rsidR="00000000" w:rsidDel="00000000" w:rsidP="00000000" w:rsidRDefault="00000000" w:rsidRPr="00000000" w14:paraId="000000A2">
            <w:pPr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• Studentul va dezvolta o mentalitate de învățare continuă, căutând oportunități de</w:t>
            </w:r>
          </w:p>
          <w:p w:rsidR="00000000" w:rsidDel="00000000" w:rsidP="00000000" w:rsidRDefault="00000000" w:rsidRPr="00000000" w14:paraId="000000A3">
            <w:pPr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dezvoltare personală și profesională pentru a-și îmbunătăți constant abilitățile.</w:t>
            </w:r>
          </w:p>
          <w:p w:rsidR="00000000" w:rsidDel="00000000" w:rsidP="00000000" w:rsidRDefault="00000000" w:rsidRPr="00000000" w14:paraId="000000A4">
            <w:pPr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• Studentul va putea să promoveze comunicarea deschisă, respectul reciproc și</w:t>
            </w:r>
          </w:p>
          <w:p w:rsidR="00000000" w:rsidDel="00000000" w:rsidP="00000000" w:rsidRDefault="00000000" w:rsidRPr="00000000" w14:paraId="000000A5">
            <w:pPr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interacțiunile pozitive în cadrul grupurilor de consiliere, creând un mediu sigur și susținător.</w:t>
            </w:r>
          </w:p>
          <w:p w:rsidR="00000000" w:rsidDel="00000000" w:rsidP="00000000" w:rsidRDefault="00000000" w:rsidRPr="00000000" w14:paraId="000000A6">
            <w:pPr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• Studentul va însuși principii etice solide și va manifesta responsabilitate în</w:t>
            </w:r>
          </w:p>
          <w:p w:rsidR="00000000" w:rsidDel="00000000" w:rsidP="00000000" w:rsidRDefault="00000000" w:rsidRPr="00000000" w14:paraId="000000A7">
            <w:pPr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exercitarea funcției de consilier educațional, respectând confidențialitatea și promovând un</w:t>
            </w:r>
          </w:p>
          <w:p w:rsidR="00000000" w:rsidDel="00000000" w:rsidP="00000000" w:rsidRDefault="00000000" w:rsidRPr="00000000" w14:paraId="000000A8">
            <w:pPr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mediu sigur și inclusiv.</w:t>
            </w:r>
          </w:p>
        </w:tc>
      </w:tr>
    </w:tbl>
    <w:p w:rsidR="00000000" w:rsidDel="00000000" w:rsidP="00000000" w:rsidRDefault="00000000" w:rsidRPr="00000000" w14:paraId="000000A9">
      <w:pPr>
        <w:spacing w:line="276" w:lineRule="auto"/>
        <w:rPr>
          <w:rFonts w:ascii="Calibri" w:cs="Calibri" w:eastAsia="Calibri" w:hAnsi="Calibri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Conținuturi</w:t>
      </w:r>
    </w:p>
    <w:p w:rsidR="00000000" w:rsidDel="00000000" w:rsidP="00000000" w:rsidRDefault="00000000" w:rsidRPr="00000000" w14:paraId="000000AB">
      <w:pPr>
        <w:spacing w:line="276" w:lineRule="auto"/>
        <w:ind w:left="714" w:firstLine="0"/>
        <w:jc w:val="both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Platforma prin care pot fi accesate suportul de curs în format electronic și alte resurse de învățare/bibliografice: Classroom</w:t>
      </w:r>
    </w:p>
    <w:p w:rsidR="00000000" w:rsidDel="00000000" w:rsidP="00000000" w:rsidRDefault="00000000" w:rsidRPr="00000000" w14:paraId="000000AC">
      <w:pPr>
        <w:spacing w:line="276" w:lineRule="auto"/>
        <w:ind w:left="714" w:firstLine="0"/>
        <w:jc w:val="both"/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7"/>
        <w:tblW w:w="9385.0" w:type="dxa"/>
        <w:jc w:val="left"/>
        <w:tblInd w:w="-34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816"/>
        <w:gridCol w:w="1689"/>
        <w:gridCol w:w="2880"/>
        <w:tblGridChange w:id="0">
          <w:tblGrid>
            <w:gridCol w:w="4816"/>
            <w:gridCol w:w="1689"/>
            <w:gridCol w:w="2880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AD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7.1 Curs</w:t>
            </w:r>
          </w:p>
        </w:tc>
        <w:tc>
          <w:tcPr/>
          <w:p w:rsidR="00000000" w:rsidDel="00000000" w:rsidP="00000000" w:rsidRDefault="00000000" w:rsidRPr="00000000" w14:paraId="000000AE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Metode de predare</w:t>
            </w:r>
          </w:p>
        </w:tc>
        <w:tc>
          <w:tcPr/>
          <w:p w:rsidR="00000000" w:rsidDel="00000000" w:rsidP="00000000" w:rsidRDefault="00000000" w:rsidRPr="00000000" w14:paraId="000000AF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Observații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B0">
            <w:pPr>
              <w:tabs>
                <w:tab w:val="left" w:leader="none" w:pos="1980"/>
              </w:tabs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1.Consilierul educațional – status, rol, formare, competențe specifice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B1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Explicație, exemplificarea, problematizarea</w:t>
            </w:r>
          </w:p>
        </w:tc>
        <w:tc>
          <w:tcPr/>
          <w:p w:rsidR="00000000" w:rsidDel="00000000" w:rsidP="00000000" w:rsidRDefault="00000000" w:rsidRPr="00000000" w14:paraId="000000B2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ore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B3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2.Atribuții și responsabilități ale consilierului educațional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B4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Studii de caz, problematizare, explicație</w:t>
            </w:r>
          </w:p>
        </w:tc>
        <w:tc>
          <w:tcPr/>
          <w:p w:rsidR="00000000" w:rsidDel="00000000" w:rsidP="00000000" w:rsidRDefault="00000000" w:rsidRPr="00000000" w14:paraId="000000B5">
            <w:pPr>
              <w:keepNext w:val="0"/>
              <w:keepLines w:val="0"/>
              <w:pageBreakBefore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h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B6">
            <w:pPr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3.Nivele de competență profesională ale consilierului educațional</w:t>
            </w:r>
          </w:p>
        </w:tc>
        <w:tc>
          <w:tcPr/>
          <w:p w:rsidR="00000000" w:rsidDel="00000000" w:rsidP="00000000" w:rsidRDefault="00000000" w:rsidRPr="00000000" w14:paraId="000000B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Expunere </w:t>
            </w:r>
          </w:p>
          <w:p w:rsidR="00000000" w:rsidDel="00000000" w:rsidP="00000000" w:rsidRDefault="00000000" w:rsidRPr="00000000" w14:paraId="000000B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Problematizare </w:t>
            </w:r>
          </w:p>
          <w:p w:rsidR="00000000" w:rsidDel="00000000" w:rsidP="00000000" w:rsidRDefault="00000000" w:rsidRPr="00000000" w14:paraId="000000B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Exemplificare</w:t>
            </w:r>
          </w:p>
          <w:p w:rsidR="00000000" w:rsidDel="00000000" w:rsidP="00000000" w:rsidRDefault="00000000" w:rsidRPr="00000000" w14:paraId="000000B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Explicare </w:t>
            </w:r>
          </w:p>
          <w:p w:rsidR="00000000" w:rsidDel="00000000" w:rsidP="00000000" w:rsidRDefault="00000000" w:rsidRPr="00000000" w14:paraId="000000BB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Dezbatere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BC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h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B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4.Principii și standarde de etică profesională în consilierea educațională. </w:t>
            </w:r>
          </w:p>
          <w:p w:rsidR="00000000" w:rsidDel="00000000" w:rsidP="00000000" w:rsidRDefault="00000000" w:rsidRPr="00000000" w14:paraId="000000BE">
            <w:pPr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Norme deontologice ale exercitării profesiei de consilier educațional</w:t>
            </w:r>
          </w:p>
        </w:tc>
        <w:tc>
          <w:tcPr/>
          <w:p w:rsidR="00000000" w:rsidDel="00000000" w:rsidP="00000000" w:rsidRDefault="00000000" w:rsidRPr="00000000" w14:paraId="000000B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Exemplificare</w:t>
            </w:r>
          </w:p>
          <w:p w:rsidR="00000000" w:rsidDel="00000000" w:rsidP="00000000" w:rsidRDefault="00000000" w:rsidRPr="00000000" w14:paraId="000000C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Explicare </w:t>
            </w:r>
          </w:p>
          <w:p w:rsidR="00000000" w:rsidDel="00000000" w:rsidP="00000000" w:rsidRDefault="00000000" w:rsidRPr="00000000" w14:paraId="000000C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Dezbatere</w:t>
            </w:r>
          </w:p>
        </w:tc>
        <w:tc>
          <w:tcPr/>
          <w:p w:rsidR="00000000" w:rsidDel="00000000" w:rsidP="00000000" w:rsidRDefault="00000000" w:rsidRPr="00000000" w14:paraId="000000C2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4 h</w:t>
            </w:r>
          </w:p>
        </w:tc>
      </w:tr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C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Bibliografie:</w:t>
            </w:r>
          </w:p>
          <w:p w:rsidR="00000000" w:rsidDel="00000000" w:rsidP="00000000" w:rsidRDefault="00000000" w:rsidRPr="00000000" w14:paraId="000000C4">
            <w:pPr>
              <w:jc w:val="both"/>
              <w:rPr>
                <w:rFonts w:ascii="Cambria" w:cs="Cambria" w:eastAsia="Cambria" w:hAnsi="Cambria"/>
                <w:sz w:val="22"/>
                <w:szCs w:val="22"/>
              </w:rPr>
            </w:pPr>
            <w:r w:rsidDel="00000000" w:rsidR="00000000" w:rsidRPr="00000000">
              <w:rPr>
                <w:rFonts w:ascii="Cambria" w:cs="Cambria" w:eastAsia="Cambria" w:hAnsi="Cambria"/>
                <w:sz w:val="22"/>
                <w:szCs w:val="22"/>
                <w:rtl w:val="0"/>
              </w:rPr>
              <w:t xml:space="preserve">Băban, A., Petrovai, D., Lemeni, G. (2002). </w:t>
            </w:r>
            <w:r w:rsidDel="00000000" w:rsidR="00000000" w:rsidRPr="00000000">
              <w:rPr>
                <w:rFonts w:ascii="Cambria" w:cs="Cambria" w:eastAsia="Cambria" w:hAnsi="Cambria"/>
                <w:i w:val="1"/>
                <w:iCs w:val="1"/>
                <w:sz w:val="22"/>
                <w:szCs w:val="22"/>
                <w:rtl w:val="0"/>
              </w:rPr>
              <w:t xml:space="preserve">Consiliere şi orientare. Ghidul profesorului</w:t>
            </w:r>
            <w:r w:rsidDel="00000000" w:rsidR="00000000" w:rsidRPr="00000000">
              <w:rPr>
                <w:rFonts w:ascii="Cambria" w:cs="Cambria" w:eastAsia="Cambria" w:hAnsi="Cambria"/>
                <w:sz w:val="22"/>
                <w:szCs w:val="22"/>
                <w:rtl w:val="0"/>
              </w:rPr>
              <w:t xml:space="preserve">, Humanitas Educaţional, Bucureşti.</w:t>
            </w:r>
          </w:p>
          <w:p w:rsidR="00000000" w:rsidDel="00000000" w:rsidP="00000000" w:rsidRDefault="00000000" w:rsidRPr="00000000" w14:paraId="000000C5">
            <w:pPr>
              <w:jc w:val="both"/>
              <w:rPr>
                <w:rFonts w:ascii="Cambria" w:cs="Cambria" w:eastAsia="Cambria" w:hAnsi="Cambria"/>
                <w:sz w:val="22"/>
                <w:szCs w:val="22"/>
              </w:rPr>
            </w:pPr>
            <w:r w:rsidDel="00000000" w:rsidR="00000000" w:rsidRPr="00000000">
              <w:rPr>
                <w:rFonts w:ascii="Cambria" w:cs="Cambria" w:eastAsia="Cambria" w:hAnsi="Cambria"/>
                <w:sz w:val="22"/>
                <w:szCs w:val="22"/>
                <w:rtl w:val="0"/>
              </w:rPr>
              <w:t xml:space="preserve">Bersan O, Dumitru I., (2023). Consilierea privind cariera. Maximizarea potențialului individual pentru o carieră de succes. Polirom, Iași</w:t>
            </w:r>
          </w:p>
          <w:p w:rsidR="00000000" w:rsidDel="00000000" w:rsidP="00000000" w:rsidRDefault="00000000" w:rsidRPr="00000000" w14:paraId="000000C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mbria" w:cs="Cambria" w:eastAsia="Cambria" w:hAnsi="Cambria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mbria" w:cs="Cambria" w:eastAsia="Cambria" w:hAnsi="Cambria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CODUL DEONTOLOGIC AL PROFESIEI DE CONSILIER ŞCOLAR, </w:t>
            </w:r>
            <w:hyperlink r:id="rId7">
              <w:r w:rsidDel="00000000" w:rsidR="00000000" w:rsidRPr="00000000">
                <w:rPr>
                  <w:rFonts w:ascii="Cambria" w:cs="Cambria" w:eastAsia="Cambria" w:hAnsi="Cambria"/>
                  <w:b w:val="0"/>
                  <w:bCs w:val="0"/>
                  <w:i w:val="0"/>
                  <w:iCs w:val="0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CODUL DEONTOLOGIC AL PROFESIEI DE CONSILIER ŞCOLAR</w:t>
              </w:r>
            </w:hyperlink>
            <w:r w:rsidDel="00000000" w:rsidR="00000000" w:rsidRPr="00000000">
              <w:rPr>
                <w:rFonts w:ascii="Cambria" w:cs="Cambria" w:eastAsia="Cambria" w:hAnsi="Cambria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C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mbria" w:cs="Cambria" w:eastAsia="Cambria" w:hAnsi="Cambria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mbria" w:cs="Cambria" w:eastAsia="Cambria" w:hAnsi="Cambria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Hall, M., (2020). Research Ethics: Deontological Perspectives. International Journal of Arts, Science and Humanities. </w:t>
            </w:r>
            <w:hyperlink r:id="rId8">
              <w:r w:rsidDel="00000000" w:rsidR="00000000" w:rsidRPr="00000000">
                <w:rPr>
                  <w:rFonts w:ascii="Cambria" w:cs="Cambria" w:eastAsia="Cambria" w:hAnsi="Cambria"/>
                  <w:b w:val="0"/>
                  <w:bCs w:val="0"/>
                  <w:i w:val="0"/>
                  <w:iCs w:val="0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SIJ_ASH_V7_N3_001.pdf</w:t>
              </w:r>
            </w:hyperlink>
            <w:r w:rsidDel="00000000" w:rsidR="00000000" w:rsidRPr="00000000">
              <w:rPr>
                <w:rFonts w:ascii="Cambria" w:cs="Cambria" w:eastAsia="Cambria" w:hAnsi="Cambria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C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mbria" w:cs="Cambria" w:eastAsia="Cambria" w:hAnsi="Cambria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mbria" w:cs="Cambria" w:eastAsia="Cambria" w:hAnsi="Cambria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LEGEA nr. 198 din 4 iulie 2023  </w:t>
            </w:r>
            <w:hyperlink r:id="rId9">
              <w:r w:rsidDel="00000000" w:rsidR="00000000" w:rsidRPr="00000000">
                <w:rPr>
                  <w:rFonts w:ascii="Cambria" w:cs="Cambria" w:eastAsia="Cambria" w:hAnsi="Cambria"/>
                  <w:b w:val="0"/>
                  <w:bCs w:val="0"/>
                  <w:i w:val="0"/>
                  <w:iCs w:val="0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LEGE (A) 198 04/07/2023 - Portal Legislativ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mbria" w:cs="Cambria" w:eastAsia="Cambria" w:hAnsi="Cambria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mbria" w:cs="Cambria" w:eastAsia="Cambria" w:hAnsi="Cambria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Fernandez, L.M., Sanz, C., Rodicio M. (2020). Competences Analysis in Initial Training of Secondary Education Counsellors and European Standards. Springer </w:t>
            </w:r>
            <w:hyperlink r:id="rId10">
              <w:r w:rsidDel="00000000" w:rsidR="00000000" w:rsidRPr="00000000">
                <w:rPr>
                  <w:rFonts w:ascii="Cambria" w:cs="Cambria" w:eastAsia="Cambria" w:hAnsi="Cambria"/>
                  <w:b w:val="0"/>
                  <w:bCs w:val="0"/>
                  <w:i w:val="0"/>
                  <w:iCs w:val="0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International Perspectives on Research in Educational and Career Guidance: Promoting Equity Through Guidance | Springer Nature Link</w:t>
              </w:r>
            </w:hyperlink>
            <w:r w:rsidDel="00000000" w:rsidR="00000000" w:rsidRPr="00000000">
              <w:rPr>
                <w:rFonts w:ascii="Cambria" w:cs="Cambria" w:eastAsia="Cambria" w:hAnsi="Cambria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C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mbria" w:cs="Cambria" w:eastAsia="Cambria" w:hAnsi="Cambria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mbria" w:cs="Cambria" w:eastAsia="Cambria" w:hAnsi="Cambria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Kwemarira, G. Nandagire Ntamu D., Nsereko, I. (2023). Deontological Ethical Orientations and Public interest in Government Schools. Public Organization Review 23:1455–1476</w:t>
            </w:r>
          </w:p>
          <w:p w:rsidR="00000000" w:rsidDel="00000000" w:rsidP="00000000" w:rsidRDefault="00000000" w:rsidRPr="00000000" w14:paraId="000000C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hyperlink r:id="rId11">
              <w:r w:rsidDel="00000000" w:rsidR="00000000" w:rsidRPr="00000000">
                <w:rPr>
                  <w:rFonts w:ascii="Cambria" w:cs="Cambria" w:eastAsia="Cambria" w:hAnsi="Cambria"/>
                  <w:b w:val="0"/>
                  <w:bCs w:val="0"/>
                  <w:i w:val="0"/>
                  <w:iCs w:val="0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https://doi.org/10.1007/s11115-022-00682-1</w:t>
              </w:r>
            </w:hyperlink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C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7.2 Seminar / laborator</w:t>
            </w:r>
          </w:p>
        </w:tc>
        <w:tc>
          <w:tcPr/>
          <w:p w:rsidR="00000000" w:rsidDel="00000000" w:rsidP="00000000" w:rsidRDefault="00000000" w:rsidRPr="00000000" w14:paraId="000000C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Metode de predare</w:t>
            </w:r>
          </w:p>
        </w:tc>
        <w:tc>
          <w:tcPr/>
          <w:p w:rsidR="00000000" w:rsidDel="00000000" w:rsidP="00000000" w:rsidRDefault="00000000" w:rsidRPr="00000000" w14:paraId="000000D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Observații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1">
            <w:pPr>
              <w:keepNext w:val="0"/>
              <w:keepLines w:val="0"/>
              <w:pageBreakBefore w:val="0"/>
              <w:widowControl w:val="1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Analiza fișa postului unui consilier școlar / educațional și realizați un comentariu asupra competențelor, atribuțiilor și responsabilităților ce revin acestei profesii</w:t>
            </w:r>
          </w:p>
        </w:tc>
        <w:tc>
          <w:tcPr/>
          <w:p w:rsidR="00000000" w:rsidDel="00000000" w:rsidP="00000000" w:rsidRDefault="00000000" w:rsidRPr="00000000" w14:paraId="000000D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Analiză critică </w:t>
            </w:r>
          </w:p>
        </w:tc>
        <w:tc>
          <w:tcPr/>
          <w:p w:rsidR="00000000" w:rsidDel="00000000" w:rsidP="00000000" w:rsidRDefault="00000000" w:rsidRPr="00000000" w14:paraId="000000D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 ore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4">
            <w:pPr>
              <w:keepNext w:val="0"/>
              <w:keepLines w:val="0"/>
              <w:pageBreakBefore w:val="0"/>
              <w:widowControl w:val="1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Prezentați un caz preluat de la un profesor consilier educațional în care să reliefați aspectele de deontologie profesională de care profesorul consilier a dat dovadă. Analizați cazul concret și insistați asupra aspectelor de deontologie, argumentându-le.  </w:t>
            </w:r>
          </w:p>
        </w:tc>
        <w:tc>
          <w:tcPr/>
          <w:p w:rsidR="00000000" w:rsidDel="00000000" w:rsidP="00000000" w:rsidRDefault="00000000" w:rsidRPr="00000000" w14:paraId="000000D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Prezentare orală</w:t>
            </w:r>
          </w:p>
        </w:tc>
        <w:tc>
          <w:tcPr/>
          <w:p w:rsidR="00000000" w:rsidDel="00000000" w:rsidP="00000000" w:rsidRDefault="00000000" w:rsidRPr="00000000" w14:paraId="000000D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6 ore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7">
            <w:pPr>
              <w:keepNext w:val="0"/>
              <w:keepLines w:val="0"/>
              <w:pageBreakBefore w:val="0"/>
              <w:widowControl w:val="1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Ce legatură există între atribuții, responsabilități și nivelele de competență ale consilierului educațional? </w:t>
            </w:r>
          </w:p>
        </w:tc>
        <w:tc>
          <w:tcPr/>
          <w:p w:rsidR="00000000" w:rsidDel="00000000" w:rsidP="00000000" w:rsidRDefault="00000000" w:rsidRPr="00000000" w14:paraId="000000D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Analiză critică și analiză comparativă</w:t>
            </w:r>
          </w:p>
        </w:tc>
        <w:tc>
          <w:tcPr/>
          <w:p w:rsidR="00000000" w:rsidDel="00000000" w:rsidP="00000000" w:rsidRDefault="00000000" w:rsidRPr="00000000" w14:paraId="000000D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 ore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A">
            <w:pPr>
              <w:keepNext w:val="0"/>
              <w:keepLines w:val="0"/>
              <w:pageBreakBefore w:val="0"/>
              <w:widowControl w:val="1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Poate fi considerat competent un consilier care nu își asumă, la nivel acceptabil, responsabilitățile și atribuțiile care îi revin, ca profesionist, în domeniu? </w:t>
            </w:r>
          </w:p>
        </w:tc>
        <w:tc>
          <w:tcPr/>
          <w:p w:rsidR="00000000" w:rsidDel="00000000" w:rsidP="00000000" w:rsidRDefault="00000000" w:rsidRPr="00000000" w14:paraId="000000D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Brainstorming, analiză critică </w:t>
            </w:r>
          </w:p>
        </w:tc>
        <w:tc>
          <w:tcPr/>
          <w:p w:rsidR="00000000" w:rsidDel="00000000" w:rsidP="00000000" w:rsidRDefault="00000000" w:rsidRPr="00000000" w14:paraId="000000D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 ore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D">
            <w:pPr>
              <w:keepNext w:val="0"/>
              <w:keepLines w:val="0"/>
              <w:pageBreakBefore w:val="0"/>
              <w:widowControl w:val="1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Ce valori, principii și standarde de etică și deontologie profesională considerați a fi importante în activitatea de consiliere </w:t>
            </w: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educațională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?</w:t>
            </w:r>
          </w:p>
        </w:tc>
        <w:tc>
          <w:tcPr/>
          <w:p w:rsidR="00000000" w:rsidDel="00000000" w:rsidP="00000000" w:rsidRDefault="00000000" w:rsidRPr="00000000" w14:paraId="000000D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Problematizare, prezentare orală argumentativă </w:t>
            </w:r>
          </w:p>
        </w:tc>
        <w:tc>
          <w:tcPr/>
          <w:p w:rsidR="00000000" w:rsidDel="00000000" w:rsidP="00000000" w:rsidRDefault="00000000" w:rsidRPr="00000000" w14:paraId="000000D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 ore</w:t>
            </w:r>
          </w:p>
        </w:tc>
      </w:tr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E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Bibliografie:</w:t>
            </w:r>
          </w:p>
          <w:p w:rsidR="00000000" w:rsidDel="00000000" w:rsidP="00000000" w:rsidRDefault="00000000" w:rsidRPr="00000000" w14:paraId="000000E1">
            <w:pPr>
              <w:jc w:val="both"/>
              <w:rPr>
                <w:rFonts w:ascii="Cambria" w:cs="Cambria" w:eastAsia="Cambria" w:hAnsi="Cambria"/>
                <w:sz w:val="22"/>
                <w:szCs w:val="22"/>
              </w:rPr>
            </w:pPr>
            <w:r w:rsidDel="00000000" w:rsidR="00000000" w:rsidRPr="00000000">
              <w:rPr>
                <w:rFonts w:ascii="Cambria" w:cs="Cambria" w:eastAsia="Cambria" w:hAnsi="Cambria"/>
                <w:sz w:val="22"/>
                <w:szCs w:val="22"/>
                <w:rtl w:val="0"/>
              </w:rPr>
              <w:t xml:space="preserve">Bersan O, Dumitru I., (2023). Consilierea privind cariera. Maximizarea potențialului individual pentru o carieră de succes. Polirom, Iași</w:t>
            </w:r>
          </w:p>
          <w:p w:rsidR="00000000" w:rsidDel="00000000" w:rsidP="00000000" w:rsidRDefault="00000000" w:rsidRPr="00000000" w14:paraId="000000E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mbria" w:cs="Cambria" w:eastAsia="Cambria" w:hAnsi="Cambria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mbria" w:cs="Cambria" w:eastAsia="Cambria" w:hAnsi="Cambria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CODUL DEONTOLOGIC AL PROFESIEI DE CONSILIER ŞCOLAR, </w:t>
            </w:r>
            <w:hyperlink r:id="rId12">
              <w:r w:rsidDel="00000000" w:rsidR="00000000" w:rsidRPr="00000000">
                <w:rPr>
                  <w:rFonts w:ascii="Cambria" w:cs="Cambria" w:eastAsia="Cambria" w:hAnsi="Cambria"/>
                  <w:b w:val="0"/>
                  <w:bCs w:val="0"/>
                  <w:i w:val="0"/>
                  <w:iCs w:val="0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CODUL DEONTOLOGIC AL PROFESIEI DE CONSILIER ŞCOLAR</w:t>
              </w:r>
            </w:hyperlink>
            <w:r w:rsidDel="00000000" w:rsidR="00000000" w:rsidRPr="00000000">
              <w:rPr>
                <w:rFonts w:ascii="Cambria" w:cs="Cambria" w:eastAsia="Cambria" w:hAnsi="Cambria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E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mbria" w:cs="Cambria" w:eastAsia="Cambria" w:hAnsi="Cambria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mbria" w:cs="Cambria" w:eastAsia="Cambria" w:hAnsi="Cambria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Hall, M., (2020). Research Ethics: Deontological Perspectives. International Journal of Arts, Science and Humanities. </w:t>
            </w:r>
            <w:hyperlink r:id="rId13">
              <w:r w:rsidDel="00000000" w:rsidR="00000000" w:rsidRPr="00000000">
                <w:rPr>
                  <w:rFonts w:ascii="Cambria" w:cs="Cambria" w:eastAsia="Cambria" w:hAnsi="Cambria"/>
                  <w:b w:val="0"/>
                  <w:bCs w:val="0"/>
                  <w:i w:val="0"/>
                  <w:iCs w:val="0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SIJ_ASH_V7_N3_001.pdf</w:t>
              </w:r>
            </w:hyperlink>
            <w:r w:rsidDel="00000000" w:rsidR="00000000" w:rsidRPr="00000000">
              <w:rPr>
                <w:rFonts w:ascii="Cambria" w:cs="Cambria" w:eastAsia="Cambria" w:hAnsi="Cambria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E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mbria" w:cs="Cambria" w:eastAsia="Cambria" w:hAnsi="Cambria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mbria" w:cs="Cambria" w:eastAsia="Cambria" w:hAnsi="Cambria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LEGEA nr. 198 din 4 iulie 2023  </w:t>
            </w:r>
            <w:hyperlink r:id="rId14">
              <w:r w:rsidDel="00000000" w:rsidR="00000000" w:rsidRPr="00000000">
                <w:rPr>
                  <w:rFonts w:ascii="Cambria" w:cs="Cambria" w:eastAsia="Cambria" w:hAnsi="Cambria"/>
                  <w:b w:val="0"/>
                  <w:bCs w:val="0"/>
                  <w:i w:val="0"/>
                  <w:iCs w:val="0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LEGE (A) 198 04/07/2023 - Portal Legislativ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mbria" w:cs="Cambria" w:eastAsia="Cambria" w:hAnsi="Cambria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mbria" w:cs="Cambria" w:eastAsia="Cambria" w:hAnsi="Cambria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Fernandez, L.M., Sanz, C., Rodicio M. (2020). Competences Analysis in Initial Training of Secondary Education Counsellors and European Standards. Springer </w:t>
            </w:r>
            <w:hyperlink r:id="rId15">
              <w:r w:rsidDel="00000000" w:rsidR="00000000" w:rsidRPr="00000000">
                <w:rPr>
                  <w:rFonts w:ascii="Cambria" w:cs="Cambria" w:eastAsia="Cambria" w:hAnsi="Cambria"/>
                  <w:b w:val="0"/>
                  <w:bCs w:val="0"/>
                  <w:i w:val="0"/>
                  <w:iCs w:val="0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International Perspectives on Research in Educational and Career Guidance: Promoting Equity Through Guidance | Springer Nature Link</w:t>
              </w:r>
            </w:hyperlink>
            <w:r w:rsidDel="00000000" w:rsidR="00000000" w:rsidRPr="00000000">
              <w:rPr>
                <w:rFonts w:ascii="Cambria" w:cs="Cambria" w:eastAsia="Cambria" w:hAnsi="Cambria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E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mbria" w:cs="Cambria" w:eastAsia="Cambria" w:hAnsi="Cambria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mbria" w:cs="Cambria" w:eastAsia="Cambria" w:hAnsi="Cambria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Kwemarira, G. Nandagire Ntamu D., Nsereko, I. (2023). Deontological Ethical Orientations and Public interest in Government Schools. Public Organization Review 23:1455–1476</w:t>
            </w:r>
          </w:p>
          <w:p w:rsidR="00000000" w:rsidDel="00000000" w:rsidP="00000000" w:rsidRDefault="00000000" w:rsidRPr="00000000" w14:paraId="000000E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hyperlink r:id="rId16">
              <w:r w:rsidDel="00000000" w:rsidR="00000000" w:rsidRPr="00000000">
                <w:rPr>
                  <w:rFonts w:ascii="Cambria" w:cs="Cambria" w:eastAsia="Cambria" w:hAnsi="Cambria"/>
                  <w:b w:val="0"/>
                  <w:bCs w:val="0"/>
                  <w:i w:val="0"/>
                  <w:iCs w:val="0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https://doi.org/10.1007/s11115-022-00682-1</w:t>
              </w:r>
            </w:hyperlink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</w:p>
        </w:tc>
      </w:tr>
    </w:tbl>
    <w:p w:rsidR="00000000" w:rsidDel="00000000" w:rsidP="00000000" w:rsidRDefault="00000000" w:rsidRPr="00000000" w14:paraId="000000E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both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B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both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Coroborarea conținuturilor disciplinei cu așteptările reprezentanților comunității epistemice, asociațiilor profesionale și angajatori reprezentativi din domeniul aferent programului</w:t>
      </w:r>
    </w:p>
    <w:tbl>
      <w:tblPr>
        <w:tblStyle w:val="Table8"/>
        <w:tblW w:w="9389.0" w:type="dxa"/>
        <w:jc w:val="left"/>
        <w:tblInd w:w="-34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389"/>
        <w:tblGridChange w:id="0">
          <w:tblGrid>
            <w:gridCol w:w="9389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E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E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E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111111"/>
          <w:sz w:val="24"/>
          <w:szCs w:val="24"/>
          <w:u w:val="none"/>
          <w:shd w:fill="auto" w:val="clear"/>
          <w:vertAlign w:val="baseline"/>
          <w:rtl w:val="0"/>
        </w:rPr>
        <w:t xml:space="preserve">Utilizarea instrumentelor bazate pe inteligența artificială generativă</w:t>
      </w:r>
      <w:r w:rsidDel="00000000" w:rsidR="00000000" w:rsidRPr="00000000">
        <w:rPr>
          <w:rtl w:val="0"/>
        </w:rPr>
      </w:r>
    </w:p>
    <w:tbl>
      <w:tblPr>
        <w:tblStyle w:val="Table9"/>
        <w:tblW w:w="9389.0" w:type="dxa"/>
        <w:jc w:val="left"/>
        <w:tblInd w:w="-34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389"/>
        <w:tblGridChange w:id="0">
          <w:tblGrid>
            <w:gridCol w:w="9389"/>
          </w:tblGrid>
        </w:tblGridChange>
      </w:tblGrid>
      <w:tr>
        <w:trPr>
          <w:cantSplit w:val="0"/>
          <w:trHeight w:val="558" w:hRule="atLeast"/>
          <w:tblHeader w:val="0"/>
        </w:trPr>
        <w:tc>
          <w:tcPr/>
          <w:p w:rsidR="00000000" w:rsidDel="00000000" w:rsidP="00000000" w:rsidRDefault="00000000" w:rsidRPr="00000000" w14:paraId="000000E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Pentru realizarea sarcinilor definite la secțiunea de evaluare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,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highlight w:val="lightGray"/>
                <w:u w:val="none"/>
                <w:vertAlign w:val="baseline"/>
                <w:rtl w:val="0"/>
              </w:rPr>
              <w:t xml:space="preserve">nu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este permisă utilizarea instrumentelor IAgen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F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Exemplele cele mai cunoscute de instrumente IAgen includ, dar nu se rezumă la: ChatGPT, Google Gemini, Copilot pentru text sau MidJourney pentru imagini.</w:t>
            </w:r>
          </w:p>
        </w:tc>
      </w:tr>
    </w:tbl>
    <w:p w:rsidR="00000000" w:rsidDel="00000000" w:rsidP="00000000" w:rsidRDefault="00000000" w:rsidRPr="00000000" w14:paraId="000000F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2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Evaluare</w:t>
      </w:r>
    </w:p>
    <w:tbl>
      <w:tblPr>
        <w:tblStyle w:val="Table10"/>
        <w:tblW w:w="9378.0" w:type="dxa"/>
        <w:jc w:val="left"/>
        <w:tblInd w:w="-34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823"/>
        <w:gridCol w:w="4956"/>
        <w:gridCol w:w="1350"/>
        <w:gridCol w:w="1249"/>
        <w:tblGridChange w:id="0">
          <w:tblGrid>
            <w:gridCol w:w="1823"/>
            <w:gridCol w:w="4956"/>
            <w:gridCol w:w="1350"/>
            <w:gridCol w:w="1249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F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Tip activitate</w:t>
            </w:r>
          </w:p>
        </w:tc>
        <w:tc>
          <w:tcPr/>
          <w:p w:rsidR="00000000" w:rsidDel="00000000" w:rsidP="00000000" w:rsidRDefault="00000000" w:rsidRPr="00000000" w14:paraId="000000F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10.1 Criterii de evaluare</w:t>
            </w:r>
          </w:p>
        </w:tc>
        <w:tc>
          <w:tcPr/>
          <w:p w:rsidR="00000000" w:rsidDel="00000000" w:rsidP="00000000" w:rsidRDefault="00000000" w:rsidRPr="00000000" w14:paraId="000000F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10.2 Metode de evaluare</w:t>
            </w:r>
          </w:p>
        </w:tc>
        <w:tc>
          <w:tcPr/>
          <w:p w:rsidR="00000000" w:rsidDel="00000000" w:rsidP="00000000" w:rsidRDefault="00000000" w:rsidRPr="00000000" w14:paraId="000000F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10.3 Pondere din nota finală</w:t>
            </w:r>
          </w:p>
        </w:tc>
      </w:tr>
      <w:tr>
        <w:trPr>
          <w:cantSplit w:val="0"/>
          <w:trHeight w:val="363" w:hRule="atLeast"/>
          <w:tblHeader w:val="0"/>
        </w:trPr>
        <w:tc>
          <w:tcPr/>
          <w:p w:rsidR="00000000" w:rsidDel="00000000" w:rsidP="00000000" w:rsidRDefault="00000000" w:rsidRPr="00000000" w14:paraId="000000F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10.4 Curs</w:t>
            </w:r>
          </w:p>
        </w:tc>
        <w:tc>
          <w:tcPr/>
          <w:p w:rsidR="00000000" w:rsidDel="00000000" w:rsidP="00000000" w:rsidRDefault="00000000" w:rsidRPr="00000000" w14:paraId="000000F8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Realizați o analiză critică asupra ,,Codului deontologic de exercitare a profesiei de consilier școlar, educațional” (min 4 pag. TNR 12, spațiere de 1.5)</w:t>
            </w:r>
          </w:p>
          <w:p w:rsidR="00000000" w:rsidDel="00000000" w:rsidP="00000000" w:rsidRDefault="00000000" w:rsidRPr="00000000" w14:paraId="000000F9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A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Analiza va include:</w:t>
            </w:r>
          </w:p>
          <w:p w:rsidR="00000000" w:rsidDel="00000000" w:rsidP="00000000" w:rsidRDefault="00000000" w:rsidRPr="00000000" w14:paraId="000000FB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Introducere – scurte aspecte teoretice</w:t>
            </w:r>
          </w:p>
          <w:p w:rsidR="00000000" w:rsidDel="00000000" w:rsidP="00000000" w:rsidRDefault="00000000" w:rsidRPr="00000000" w14:paraId="000000FC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Opinii personale, argumentate despre principiile si standardele etice de exercitare a profesiei de consilier scolar/educational;</w:t>
            </w:r>
          </w:p>
          <w:p w:rsidR="00000000" w:rsidDel="00000000" w:rsidP="00000000" w:rsidRDefault="00000000" w:rsidRPr="00000000" w14:paraId="000000FD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Opinii referitoare la necesitatea, oportunitatea,eficienta si utilitatea acestui cod;</w:t>
            </w:r>
          </w:p>
          <w:p w:rsidR="00000000" w:rsidDel="00000000" w:rsidP="00000000" w:rsidRDefault="00000000" w:rsidRPr="00000000" w14:paraId="000000FE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Eventuale opinii de îmbunătațire/ameliorare a codului</w:t>
            </w:r>
          </w:p>
          <w:p w:rsidR="00000000" w:rsidDel="00000000" w:rsidP="00000000" w:rsidRDefault="00000000" w:rsidRPr="00000000" w14:paraId="000000FF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Bibliografie</w:t>
            </w:r>
          </w:p>
        </w:tc>
        <w:tc>
          <w:tcPr/>
          <w:p w:rsidR="00000000" w:rsidDel="00000000" w:rsidP="00000000" w:rsidRDefault="00000000" w:rsidRPr="00000000" w14:paraId="0000010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Examen oral – prezentarea orală a analizei critice </w:t>
            </w:r>
          </w:p>
        </w:tc>
        <w:tc>
          <w:tcPr/>
          <w:p w:rsidR="00000000" w:rsidDel="00000000" w:rsidP="00000000" w:rsidRDefault="00000000" w:rsidRPr="00000000" w14:paraId="0000010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50%</w:t>
            </w:r>
          </w:p>
        </w:tc>
      </w:tr>
      <w:tr>
        <w:trPr>
          <w:cantSplit w:val="0"/>
          <w:trHeight w:val="567" w:hRule="atLeast"/>
          <w:tblHeader w:val="0"/>
        </w:trPr>
        <w:tc>
          <w:tcPr/>
          <w:p w:rsidR="00000000" w:rsidDel="00000000" w:rsidP="00000000" w:rsidRDefault="00000000" w:rsidRPr="00000000" w14:paraId="0000010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10.5 Seminar </w:t>
            </w:r>
          </w:p>
        </w:tc>
        <w:tc>
          <w:tcPr/>
          <w:p w:rsidR="00000000" w:rsidDel="00000000" w:rsidP="00000000" w:rsidRDefault="00000000" w:rsidRPr="00000000" w14:paraId="0000010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Realizarea unei prezentări orale a unei teme, la alegere, dintre temele seminarelor. Prezentarea orală poate fi însoțită de un material vizual (Canva, Power-Point etc.)</w:t>
            </w:r>
          </w:p>
          <w:p w:rsidR="00000000" w:rsidDel="00000000" w:rsidP="00000000" w:rsidRDefault="00000000" w:rsidRPr="00000000" w14:paraId="0000010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Încărcarea temei prezentate în format scris (word sau PDF) în platforma Classroom, în timpul derulării activității didactice și după ce tema a fost prezentată în timpul seminarului. Tema încărcată reprezintă evaluarea pe parcursul semestrului și va conține:</w:t>
            </w:r>
          </w:p>
          <w:p w:rsidR="00000000" w:rsidDel="00000000" w:rsidP="00000000" w:rsidRDefault="00000000" w:rsidRPr="00000000" w14:paraId="00000105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 parte teoretică, introductivă;</w:t>
            </w:r>
          </w:p>
          <w:p w:rsidR="00000000" w:rsidDel="00000000" w:rsidP="00000000" w:rsidRDefault="00000000" w:rsidRPr="00000000" w14:paraId="00000106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 parte exemplicativă, practică;</w:t>
            </w:r>
          </w:p>
          <w:p w:rsidR="00000000" w:rsidDel="00000000" w:rsidP="00000000" w:rsidRDefault="00000000" w:rsidRPr="00000000" w14:paraId="00000107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Minim 3 surse bibliografice citate în text și stipulate în bibliografia finală.</w:t>
            </w:r>
          </w:p>
          <w:p w:rsidR="00000000" w:rsidDel="00000000" w:rsidP="00000000" w:rsidRDefault="00000000" w:rsidRPr="00000000" w14:paraId="0000010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Tema încărcată trebuie să aibă min. 3 pagini, scrise cu TNR 12, spațiere 1.5</w:t>
            </w:r>
          </w:p>
        </w:tc>
        <w:tc>
          <w:tcPr/>
          <w:p w:rsidR="00000000" w:rsidDel="00000000" w:rsidP="00000000" w:rsidRDefault="00000000" w:rsidRPr="00000000" w14:paraId="0000010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0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13" w:hRule="atLeast"/>
          <w:tblHeader w:val="0"/>
        </w:trPr>
        <w:tc>
          <w:tcPr>
            <w:gridSpan w:val="4"/>
          </w:tcPr>
          <w:p w:rsidR="00000000" w:rsidDel="00000000" w:rsidP="00000000" w:rsidRDefault="00000000" w:rsidRPr="00000000" w14:paraId="0000010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10.6 Standard minim de performanță</w:t>
            </w:r>
          </w:p>
        </w:tc>
      </w:tr>
      <w:tr>
        <w:trPr>
          <w:cantSplit w:val="0"/>
          <w:trHeight w:val="413" w:hRule="atLeast"/>
          <w:tblHeader w:val="0"/>
        </w:trPr>
        <w:tc>
          <w:tcPr>
            <w:gridSpan w:val="4"/>
          </w:tcPr>
          <w:p w:rsidR="00000000" w:rsidDel="00000000" w:rsidP="00000000" w:rsidRDefault="00000000" w:rsidRPr="00000000" w14:paraId="0000010F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Prezentarea orală în cadrul seminarului este obligatorie</w:t>
            </w:r>
          </w:p>
          <w:p w:rsidR="00000000" w:rsidDel="00000000" w:rsidP="00000000" w:rsidRDefault="00000000" w:rsidRPr="00000000" w14:paraId="00000110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Încărcarea temei scrise, în termenul stabilit (realizată în urma prezentării) este obligatorie</w:t>
            </w:r>
          </w:p>
          <w:p w:rsidR="00000000" w:rsidDel="00000000" w:rsidP="00000000" w:rsidRDefault="00000000" w:rsidRPr="00000000" w14:paraId="00000111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Minim nota 5 obținută în cadrul activității de seminar</w:t>
            </w:r>
          </w:p>
          <w:p w:rsidR="00000000" w:rsidDel="00000000" w:rsidP="00000000" w:rsidRDefault="00000000" w:rsidRPr="00000000" w14:paraId="00000112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Minim 3 prezențe la curs și 3 prezențe la seminar. Studenții care au obținut scutire de frecvență, din partea conducerii facultății au obligativitatea de a participa la min 2 cursuri și minim 2 seminare. Pentru a compensa o absență vor posta o sarcină de seminar în plus față de sarcina obligatorie.  </w:t>
            </w:r>
          </w:p>
        </w:tc>
      </w:tr>
    </w:tbl>
    <w:p w:rsidR="00000000" w:rsidDel="00000000" w:rsidP="00000000" w:rsidRDefault="00000000" w:rsidRPr="00000000" w14:paraId="00000116">
      <w:pPr>
        <w:jc w:val="center"/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7">
      <w:pPr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Data completării                                                                                                       Titular de disciplină </w:t>
      </w:r>
    </w:p>
    <w:p w:rsidR="00000000" w:rsidDel="00000000" w:rsidP="00000000" w:rsidRDefault="00000000" w:rsidRPr="00000000" w14:paraId="0000011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3.02.2026</w:t>
        <w:tab/>
        <w:tab/>
        <w:tab/>
        <w:tab/>
        <w:tab/>
        <w:tab/>
        <w:tab/>
        <w:tab/>
        <w:t xml:space="preserve">Conf. Univ. Dr. Otilia Bersan</w:t>
      </w:r>
    </w:p>
    <w:p w:rsidR="00000000" w:rsidDel="00000000" w:rsidP="00000000" w:rsidRDefault="00000000" w:rsidRPr="00000000" w14:paraId="0000011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ab/>
        <w:tab/>
        <w:tab/>
        <w:tab/>
        <w:tab/>
        <w:tab/>
        <w:tab/>
        <w:tab/>
      </w: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713247" cy="462715"/>
            <wp:effectExtent b="0" l="0" r="0" t="0"/>
            <wp:docPr id="1023293593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13247" cy="4627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Data avizării în departament                                                                      Director de departament,</w:t>
      </w:r>
    </w:p>
    <w:p w:rsidR="00000000" w:rsidDel="00000000" w:rsidP="00000000" w:rsidRDefault="00000000" w:rsidRPr="00000000" w14:paraId="0000011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6.02.2026</w:t>
        <w:tab/>
        <w:tab/>
        <w:tab/>
        <w:tab/>
        <w:tab/>
        <w:tab/>
        <w:tab/>
        <w:t xml:space="preserve">Conf. Univ. Dr. Claudia Borca</w:t>
      </w:r>
    </w:p>
    <w:sectPr>
      <w:headerReference r:id="rId18" w:type="default"/>
      <w:headerReference r:id="rId19" w:type="first"/>
      <w:footerReference r:id="rId20" w:type="default"/>
      <w:footerReference r:id="rId21" w:type="first"/>
      <w:footerReference r:id="rId22" w:type="even"/>
      <w:pgSz w:h="16838" w:w="11906" w:orient="portrait"/>
      <w:pgMar w:bottom="1418" w:top="1814" w:left="1418" w:right="1134" w:header="289" w:footer="862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mbria"/>
  <w:font w:name="Arial"/>
  <w:font w:name="Calibri"/>
  <w:font w:name="Times New Roman"/>
  <w:font w:name="Courier New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Tahoma">
    <w:embedRegular w:fontKey="{00000000-0000-0000-0000-000000000000}" r:id="rId5" w:subsetted="0"/>
    <w:embedBold w:fontKey="{00000000-0000-0000-0000-000000000000}" r:id="rId6" w:subsetted="0"/>
  </w:font>
  <w:font w:name="Noto Sans Symbols">
    <w:embedRegular w:fontKey="{00000000-0000-0000-0000-000000000000}" r:id="rId7" w:subsetted="0"/>
    <w:embedBold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1F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center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120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righ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121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36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22">
    <w:pPr>
      <w:ind w:right="360"/>
      <w:rPr>
        <w:rFonts w:ascii="Arial Narrow" w:cs="Arial Narrow" w:eastAsia="Arial Narrow" w:hAnsi="Arial Narrow"/>
        <w:color w:val="ffffff"/>
        <w:sz w:val="22"/>
        <w:szCs w:val="22"/>
      </w:rPr>
    </w:pPr>
    <w:hyperlink r:id="rId1">
      <w:r w:rsidDel="00000000" w:rsidR="00000000" w:rsidRPr="00000000">
        <w:rPr>
          <w:rFonts w:ascii="Arial Narrow" w:cs="Arial Narrow" w:eastAsia="Arial Narrow" w:hAnsi="Arial Narrow"/>
          <w:color w:val="ffffff"/>
          <w:sz w:val="22"/>
          <w:szCs w:val="22"/>
          <w:u w:val="single"/>
          <w:rtl w:val="0"/>
        </w:rPr>
        <w:t xml:space="preserve">Website: http://www.uvt.ro/</w:t>
      </w:r>
    </w:hyperlink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-872805</wp:posOffset>
              </wp:positionH>
              <wp:positionV relativeFrom="paragraph">
                <wp:posOffset>147638</wp:posOffset>
              </wp:positionV>
              <wp:extent cx="7495540" cy="665480"/>
              <wp:effectExtent b="0" l="0" r="0" t="0"/>
              <wp:wrapNone/>
              <wp:docPr id="1023293589" name=""/>
              <a:graphic>
                <a:graphicData uri="http://schemas.microsoft.com/office/word/2010/wordprocessingShape">
                  <wps:wsp>
                    <wps:cNvSpPr/>
                    <wps:cNvPr id="5" name="Shape 5"/>
                    <wps:spPr>
                      <a:xfrm>
                        <a:off x="1602993" y="3452023"/>
                        <a:ext cx="7486015" cy="6559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cap="flat" cmpd="sng" w="9525">
                        <a:solidFill>
                          <a:srgbClr val="FFFFFF"/>
                        </a:solidFill>
                        <a:prstDash val="solid"/>
                        <a:miter lim="800000"/>
                        <a:headEnd len="sm" w="sm" type="none"/>
                        <a:tailEnd len="sm" w="sm" type="none"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Adresă poștală: Bd. Vasile Pârvan nr. 4, cod poștal 300223, Timișoara, jud. Timiș, România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br w:type="textWrapping"/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Număr de telefon: +40-(0)256-592.300 (310)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vertAlign w:val="baseline"/>
                            </w:rPr>
                            <w:t xml:space="preserve">Adresă de e-mail: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  <w:t xml:space="preserve">secretariat@e-uvt.ro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 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Website: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  <w:t xml:space="preserve">www.uvt.ro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left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-872805</wp:posOffset>
              </wp:positionH>
              <wp:positionV relativeFrom="paragraph">
                <wp:posOffset>147638</wp:posOffset>
              </wp:positionV>
              <wp:extent cx="7495540" cy="665480"/>
              <wp:effectExtent b="0" l="0" r="0" t="0"/>
              <wp:wrapNone/>
              <wp:docPr id="1023293589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495540" cy="66548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:rsidR="00000000" w:rsidDel="00000000" w:rsidP="00000000" w:rsidRDefault="00000000" w:rsidRPr="00000000" w14:paraId="00000123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24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-4761</wp:posOffset>
              </wp:positionH>
              <wp:positionV relativeFrom="paragraph">
                <wp:posOffset>-4761</wp:posOffset>
              </wp:positionV>
              <wp:extent cx="7296150" cy="665480"/>
              <wp:effectExtent b="0" l="0" r="0" t="0"/>
              <wp:wrapNone/>
              <wp:docPr id="1023293588" name=""/>
              <a:graphic>
                <a:graphicData uri="http://schemas.microsoft.com/office/word/2010/wordprocessingShape">
                  <wps:wsp>
                    <wps:cNvSpPr/>
                    <wps:cNvPr id="4" name="Shape 4"/>
                    <wps:spPr>
                      <a:xfrm>
                        <a:off x="1702688" y="3452023"/>
                        <a:ext cx="7286625" cy="6559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cap="flat" cmpd="sng" w="9525">
                        <a:solidFill>
                          <a:schemeClr val="lt1"/>
                        </a:solidFill>
                        <a:prstDash val="solid"/>
                        <a:miter lim="800000"/>
                        <a:headEnd len="sm" w="sm" type="none"/>
                        <a:tailEnd len="sm" w="sm" type="none"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Adresă poștală: Bd. Vasile Pârvan nr. 4, cod poștal 300223, Timișoara, jud. Timiș, România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br w:type="textWrapping"/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Număr de telefon: +40-(0)256-592.300 (310)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vertAlign w:val="baseline"/>
                            </w:rPr>
                            <w:t xml:space="preserve">Adresă de e-mail: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  <w:t xml:space="preserve">secretariat@e-uvt.ro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Website: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  <w:t xml:space="preserve">www.uvt.ro</w:t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-4761</wp:posOffset>
              </wp:positionH>
              <wp:positionV relativeFrom="paragraph">
                <wp:posOffset>-4761</wp:posOffset>
              </wp:positionV>
              <wp:extent cx="7296150" cy="665480"/>
              <wp:effectExtent b="0" l="0" r="0" t="0"/>
              <wp:wrapNone/>
              <wp:docPr id="1023293588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296150" cy="66548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1D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-158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bookmarkStart w:colFirst="0" w:colLast="0" w:name="_heading=h.p2a3mxzre6d" w:id="0"/>
    <w:bookmarkEnd w:id="0"/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1807527</wp:posOffset>
              </wp:positionH>
              <wp:positionV relativeFrom="paragraph">
                <wp:posOffset>301489</wp:posOffset>
              </wp:positionV>
              <wp:extent cx="4760595" cy="385445"/>
              <wp:effectExtent b="0" l="0" r="0" t="0"/>
              <wp:wrapNone/>
              <wp:docPr id="1023293587" name=""/>
              <a:graphic>
                <a:graphicData uri="http://schemas.microsoft.com/office/word/2010/wordprocessingShape">
                  <wps:wsp>
                    <wps:cNvSpPr/>
                    <wps:cNvPr id="3" name="Shape 3"/>
                    <wps:spPr>
                      <a:xfrm>
                        <a:off x="2970465" y="3592040"/>
                        <a:ext cx="4751070" cy="3759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Open Sans" w:cs="Open Sans" w:eastAsia="Open Sans" w:hAnsi="Open Sans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  <w:t xml:space="preserve">MINISTERUL EDUCAȚIEI ȘI CERCETĂRII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Open Sans" w:cs="Open Sans" w:eastAsia="Open Sans" w:hAnsi="Open Sans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Calibri" w:cs="Calibri" w:eastAsia="Calibri" w:hAnsi="Calibri"/>
                              <w:b w:val="0"/>
                              <w:i w:val="0"/>
                              <w:smallCaps w:val="0"/>
                              <w:strike w:val="0"/>
                              <w:color w:val="5a5a5a"/>
                              <w:sz w:val="22"/>
                              <w:vertAlign w:val="baseline"/>
                            </w:rPr>
                            <w:t xml:space="preserve">UNIVERSITATEA DE VEST DIN TIMIȘOARA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Calibri" w:cs="Calibri" w:eastAsia="Calibri" w:hAnsi="Calibri"/>
                              <w:b w:val="0"/>
                              <w:i w:val="0"/>
                              <w:smallCaps w:val="0"/>
                              <w:strike w:val="0"/>
                              <w:color w:val="5a5a5a"/>
                              <w:sz w:val="22"/>
                              <w:vertAlign w:val="baseline"/>
                            </w:rPr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1807527</wp:posOffset>
              </wp:positionH>
              <wp:positionV relativeFrom="paragraph">
                <wp:posOffset>301489</wp:posOffset>
              </wp:positionV>
              <wp:extent cx="4760595" cy="385445"/>
              <wp:effectExtent b="0" l="0" r="0" t="0"/>
              <wp:wrapNone/>
              <wp:docPr id="1023293587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760595" cy="38544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725170</wp:posOffset>
          </wp:positionH>
          <wp:positionV relativeFrom="paragraph">
            <wp:posOffset>877619</wp:posOffset>
          </wp:positionV>
          <wp:extent cx="5930900" cy="38100"/>
          <wp:effectExtent b="0" l="0" r="0" t="0"/>
          <wp:wrapNone/>
          <wp:docPr descr="C:\Users\Kasandra\AppData\Local\Microsoft\Windows\INetCache\Content.Word\Linie albastra-01.jpg" id="1023293594" name="image1.jpg"/>
          <a:graphic>
            <a:graphicData uri="http://schemas.openxmlformats.org/drawingml/2006/picture">
              <pic:pic>
                <pic:nvPicPr>
                  <pic:cNvPr descr="C:\Users\Kasandra\AppData\Local\Microsoft\Windows\INetCache\Content.Word\Linie albastra-01.jpg" id="0" name="image1.jp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930900" cy="3810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-443229</wp:posOffset>
          </wp:positionH>
          <wp:positionV relativeFrom="paragraph">
            <wp:posOffset>2268</wp:posOffset>
          </wp:positionV>
          <wp:extent cx="2476500" cy="852805"/>
          <wp:effectExtent b="0" l="0" r="0" t="0"/>
          <wp:wrapNone/>
          <wp:docPr id="1023293591" name="image7.png"/>
          <a:graphic>
            <a:graphicData uri="http://schemas.openxmlformats.org/drawingml/2006/picture">
              <pic:pic>
                <pic:nvPicPr>
                  <pic:cNvPr id="0" name="image7.png"/>
                  <pic:cNvPicPr preferRelativeResize="0"/>
                </pic:nvPicPr>
                <pic:blipFill>
                  <a:blip r:embed="rId3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476500" cy="852805"/>
                  </a:xfrm>
                  <a:prstGeom prst="rect"/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1E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1817688</wp:posOffset>
              </wp:positionH>
              <wp:positionV relativeFrom="paragraph">
                <wp:posOffset>523558</wp:posOffset>
              </wp:positionV>
              <wp:extent cx="4760595" cy="385445"/>
              <wp:effectExtent b="0" l="0" r="0" t="0"/>
              <wp:wrapNone/>
              <wp:docPr id="1023293586" name=""/>
              <a:graphic>
                <a:graphicData uri="http://schemas.microsoft.com/office/word/2010/wordprocessingShape">
                  <wps:wsp>
                    <wps:cNvSpPr/>
                    <wps:cNvPr id="2" name="Shape 2"/>
                    <wps:spPr>
                      <a:xfrm>
                        <a:off x="2970465" y="3592040"/>
                        <a:ext cx="4751070" cy="3759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Open Sans" w:cs="Open Sans" w:eastAsia="Open Sans" w:hAnsi="Open Sans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  <w:t xml:space="preserve">MINISTERUL EDUCAȚIEI NAȚIONALE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Open Sans" w:cs="Open Sans" w:eastAsia="Open Sans" w:hAnsi="Open Sans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Calibri" w:cs="Calibri" w:eastAsia="Calibri" w:hAnsi="Calibri"/>
                              <w:b w:val="0"/>
                              <w:i w:val="0"/>
                              <w:smallCaps w:val="0"/>
                              <w:strike w:val="0"/>
                              <w:color w:val="5a5a5a"/>
                              <w:sz w:val="22"/>
                              <w:vertAlign w:val="baseline"/>
                            </w:rPr>
                            <w:t xml:space="preserve">UNIVERSITATEA DE VEST DIN TIMIȘOARA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Calibri" w:cs="Calibri" w:eastAsia="Calibri" w:hAnsi="Calibri"/>
                              <w:b w:val="0"/>
                              <w:i w:val="0"/>
                              <w:smallCaps w:val="0"/>
                              <w:strike w:val="0"/>
                              <w:color w:val="5a5a5a"/>
                              <w:sz w:val="22"/>
                              <w:vertAlign w:val="baseline"/>
                            </w:rPr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1817688</wp:posOffset>
              </wp:positionH>
              <wp:positionV relativeFrom="paragraph">
                <wp:posOffset>523558</wp:posOffset>
              </wp:positionV>
              <wp:extent cx="4760595" cy="385445"/>
              <wp:effectExtent b="0" l="0" r="0" t="0"/>
              <wp:wrapNone/>
              <wp:docPr id="1023293586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760595" cy="38544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723265</wp:posOffset>
          </wp:positionH>
          <wp:positionV relativeFrom="paragraph">
            <wp:posOffset>937894</wp:posOffset>
          </wp:positionV>
          <wp:extent cx="5930900" cy="38100"/>
          <wp:effectExtent b="0" l="0" r="0" t="0"/>
          <wp:wrapNone/>
          <wp:docPr descr="C:\Users\Kasandra\AppData\Local\Microsoft\Windows\INetCache\Content.Word\Linie albastra-01.jpg" id="1023293590" name="image1.jpg"/>
          <a:graphic>
            <a:graphicData uri="http://schemas.openxmlformats.org/drawingml/2006/picture">
              <pic:pic>
                <pic:nvPicPr>
                  <pic:cNvPr descr="C:\Users\Kasandra\AppData\Local\Microsoft\Windows\INetCache\Content.Word\Linie albastra-01.jpg" id="0" name="image1.jp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930900" cy="3810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-467359</wp:posOffset>
          </wp:positionH>
          <wp:positionV relativeFrom="paragraph">
            <wp:posOffset>60325</wp:posOffset>
          </wp:positionV>
          <wp:extent cx="2476500" cy="852805"/>
          <wp:effectExtent b="0" l="0" r="0" t="0"/>
          <wp:wrapNone/>
          <wp:docPr id="1023293592" name="image7.png"/>
          <a:graphic>
            <a:graphicData uri="http://schemas.openxmlformats.org/drawingml/2006/picture">
              <pic:pic>
                <pic:nvPicPr>
                  <pic:cNvPr id="0" name="image7.png"/>
                  <pic:cNvPicPr preferRelativeResize="0"/>
                </pic:nvPicPr>
                <pic:blipFill>
                  <a:blip r:embed="rId3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476500" cy="852805"/>
                  </a:xfrm>
                  <a:prstGeom prst="rect"/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decimal"/>
      <w:lvlText w:val="%1.%2."/>
      <w:lvlJc w:val="left"/>
      <w:pPr>
        <w:ind w:left="720" w:hanging="360"/>
      </w:pPr>
      <w:rPr/>
    </w:lvl>
    <w:lvl w:ilvl="2">
      <w:start w:val="1"/>
      <w:numFmt w:val="decimal"/>
      <w:lvlText w:val="%1.%2.%3."/>
      <w:lvlJc w:val="left"/>
      <w:pPr>
        <w:ind w:left="1080" w:hanging="720"/>
      </w:pPr>
      <w:rPr/>
    </w:lvl>
    <w:lvl w:ilvl="3">
      <w:start w:val="1"/>
      <w:numFmt w:val="decimal"/>
      <w:lvlText w:val="%1.%2.%3.%4."/>
      <w:lvlJc w:val="left"/>
      <w:pPr>
        <w:ind w:left="1080" w:hanging="720"/>
      </w:pPr>
      <w:rPr/>
    </w:lvl>
    <w:lvl w:ilvl="4">
      <w:start w:val="1"/>
      <w:numFmt w:val="decimal"/>
      <w:lvlText w:val="%1.%2.%3.%4.%5."/>
      <w:lvlJc w:val="left"/>
      <w:pPr>
        <w:ind w:left="1440" w:hanging="1080"/>
      </w:pPr>
      <w:rPr/>
    </w:lvl>
    <w:lvl w:ilvl="5">
      <w:start w:val="1"/>
      <w:numFmt w:val="decimal"/>
      <w:lvlText w:val="%1.%2.%3.%4.%5.%6."/>
      <w:lvlJc w:val="left"/>
      <w:pPr>
        <w:ind w:left="1440" w:hanging="1080"/>
      </w:pPr>
      <w:rPr/>
    </w:lvl>
    <w:lvl w:ilvl="6">
      <w:start w:val="1"/>
      <w:numFmt w:val="decimal"/>
      <w:lvlText w:val="%1.%2.%3.%4.%5.%6.%7."/>
      <w:lvlJc w:val="left"/>
      <w:pPr>
        <w:ind w:left="1800" w:hanging="1440"/>
      </w:pPr>
      <w:rPr/>
    </w:lvl>
    <w:lvl w:ilvl="7">
      <w:start w:val="1"/>
      <w:numFmt w:val="decimal"/>
      <w:lvlText w:val="%1.%2.%3.%4.%5.%6.%7.%8."/>
      <w:lvlJc w:val="left"/>
      <w:pPr>
        <w:ind w:left="1800" w:hanging="1440"/>
      </w:pPr>
      <w:rPr/>
    </w:lvl>
    <w:lvl w:ilvl="8">
      <w:start w:val="1"/>
      <w:numFmt w:val="decimal"/>
      <w:lvlText w:val="%1.%2.%3.%4.%5.%6.%7.%8.%9."/>
      <w:lvlJc w:val="left"/>
      <w:pPr>
        <w:ind w:left="2160" w:hanging="1800"/>
      </w:pPr>
      <w:rPr/>
    </w:lvl>
  </w:abstractNum>
  <w:abstractNum w:abstractNumId="2">
    <w:lvl w:ilvl="0">
      <w:start w:val="1"/>
      <w:numFmt w:val="decimal"/>
      <w:lvlText w:val="%1"/>
      <w:lvlJc w:val="left"/>
      <w:pPr>
        <w:ind w:left="360" w:hanging="360"/>
      </w:pPr>
      <w:rPr/>
    </w:lvl>
    <w:lvl w:ilvl="1">
      <w:start w:val="1"/>
      <w:numFmt w:val="decimal"/>
      <w:lvlText w:val="%1.%2"/>
      <w:lvlJc w:val="left"/>
      <w:pPr>
        <w:ind w:left="360" w:hanging="360"/>
      </w:pPr>
      <w:rPr/>
    </w:lvl>
    <w:lvl w:ilvl="2">
      <w:start w:val="1"/>
      <w:numFmt w:val="decimal"/>
      <w:lvlText w:val="%1.%2.%3"/>
      <w:lvlJc w:val="left"/>
      <w:pPr>
        <w:ind w:left="720" w:hanging="720"/>
      </w:pPr>
      <w:rPr/>
    </w:lvl>
    <w:lvl w:ilvl="3">
      <w:start w:val="1"/>
      <w:numFmt w:val="decimal"/>
      <w:lvlText w:val="%1.%2.%3.%4"/>
      <w:lvlJc w:val="left"/>
      <w:pPr>
        <w:ind w:left="720" w:hanging="720"/>
      </w:pPr>
      <w:rPr/>
    </w:lvl>
    <w:lvl w:ilvl="4">
      <w:start w:val="1"/>
      <w:numFmt w:val="decimal"/>
      <w:lvlText w:val="%1.%2.%3.%4.%5"/>
      <w:lvlJc w:val="left"/>
      <w:pPr>
        <w:ind w:left="1080" w:hanging="1080"/>
      </w:pPr>
      <w:rPr/>
    </w:lvl>
    <w:lvl w:ilvl="5">
      <w:start w:val="1"/>
      <w:numFmt w:val="decimal"/>
      <w:lvlText w:val="%1.%2.%3.%4.%5.%6"/>
      <w:lvlJc w:val="left"/>
      <w:pPr>
        <w:ind w:left="1080" w:hanging="1080"/>
      </w:pPr>
      <w:rPr/>
    </w:lvl>
    <w:lvl w:ilvl="6">
      <w:start w:val="1"/>
      <w:numFmt w:val="decimal"/>
      <w:lvlText w:val="%1.%2.%3.%4.%5.%6.%7"/>
      <w:lvlJc w:val="left"/>
      <w:pPr>
        <w:ind w:left="1440" w:hanging="1440"/>
      </w:pPr>
      <w:rPr/>
    </w:lvl>
    <w:lvl w:ilvl="7">
      <w:start w:val="1"/>
      <w:numFmt w:val="decimal"/>
      <w:lvlText w:val="%1.%2.%3.%4.%5.%6.%7.%8"/>
      <w:lvlJc w:val="left"/>
      <w:pPr>
        <w:ind w:left="1440" w:hanging="1440"/>
      </w:pPr>
      <w:rPr/>
    </w:lvl>
    <w:lvl w:ilvl="8">
      <w:start w:val="1"/>
      <w:numFmt w:val="decimal"/>
      <w:lvlText w:val="%1.%2.%3.%4.%5.%6.%7.%8.%9"/>
      <w:lvlJc w:val="left"/>
      <w:pPr>
        <w:ind w:left="1440" w:hanging="1440"/>
      </w:pPr>
      <w:rPr/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">
    <w:lvl w:ilvl="0">
      <w:start w:val="6"/>
      <w:numFmt w:val="decimal"/>
      <w:lvlText w:val="%1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5">
    <w:lvl w:ilvl="0">
      <w:start w:val="2"/>
      <w:numFmt w:val="decimal"/>
      <w:lvlText w:val="%1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6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7">
    <w:lvl w:ilvl="0">
      <w:start w:val="10"/>
      <w:numFmt w:val="bullet"/>
      <w:lvlText w:val="-"/>
      <w:lvlJc w:val="left"/>
      <w:pPr>
        <w:ind w:left="720" w:hanging="360"/>
      </w:pPr>
      <w:rPr>
        <w:rFonts w:ascii="Calibri" w:cs="Calibri" w:eastAsia="Calibri" w:hAnsi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ro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spacing w:after="60" w:before="240" w:lineRule="auto"/>
    </w:pPr>
    <w:rPr>
      <w:rFonts w:ascii="Cambria" w:cs="Cambria" w:eastAsia="Cambria" w:hAnsi="Cambria"/>
      <w:b w:val="1"/>
      <w:bCs w:val="1"/>
      <w:sz w:val="32"/>
      <w:szCs w:val="32"/>
    </w:rPr>
  </w:style>
  <w:style w:type="paragraph" w:styleId="Heading2">
    <w:name w:val="heading 2"/>
    <w:basedOn w:val="Normal"/>
    <w:next w:val="Normal"/>
    <w:pPr>
      <w:keepNext w:val="1"/>
      <w:spacing w:after="60" w:before="240" w:lineRule="auto"/>
    </w:pPr>
    <w:rPr>
      <w:rFonts w:ascii="Arial" w:cs="Arial" w:eastAsia="Arial" w:hAnsi="Arial"/>
      <w:b w:val="1"/>
      <w:bCs w:val="1"/>
      <w:i w:val="1"/>
      <w:iCs w:val="1"/>
      <w:sz w:val="28"/>
      <w:szCs w:val="28"/>
    </w:rPr>
  </w:style>
  <w:style w:type="paragraph" w:styleId="Heading3">
    <w:name w:val="heading 3"/>
    <w:basedOn w:val="Normal"/>
    <w:next w:val="Normal"/>
    <w:pPr/>
    <w:rPr>
      <w:rFonts w:ascii="Tahoma" w:cs="Tahoma" w:eastAsia="Tahoma" w:hAnsi="Tahoma"/>
      <w:b w:val="1"/>
      <w:bCs w:val="1"/>
      <w:color w:val="ffffff"/>
      <w:sz w:val="18"/>
      <w:szCs w:val="18"/>
    </w:rPr>
  </w:style>
  <w:style w:type="paragraph" w:styleId="Heading4">
    <w:name w:val="heading 4"/>
    <w:basedOn w:val="Normal"/>
    <w:next w:val="Normal"/>
    <w:pPr>
      <w:keepNext w:val="1"/>
      <w:spacing w:after="60" w:before="240" w:lineRule="auto"/>
    </w:pPr>
    <w:rPr>
      <w:b w:val="1"/>
      <w:bCs w:val="1"/>
      <w:sz w:val="28"/>
      <w:szCs w:val="28"/>
    </w:rPr>
  </w:style>
  <w:style w:type="paragraph" w:styleId="Heading5">
    <w:name w:val="heading 5"/>
    <w:basedOn w:val="Normal"/>
    <w:next w:val="Normal"/>
    <w:pPr>
      <w:spacing w:after="60" w:before="240" w:lineRule="auto"/>
    </w:pPr>
    <w:rPr>
      <w:b w:val="1"/>
      <w:bCs w:val="1"/>
      <w:i w:val="1"/>
      <w:iCs w:val="1"/>
      <w:sz w:val="26"/>
      <w:szCs w:val="26"/>
    </w:rPr>
  </w:style>
  <w:style w:type="paragraph" w:styleId="Heading6">
    <w:name w:val="heading 6"/>
    <w:basedOn w:val="Normal"/>
    <w:next w:val="Normal"/>
    <w:pPr>
      <w:keepNext w:val="1"/>
      <w:keepLines w:val="1"/>
      <w:spacing w:line="360" w:lineRule="auto"/>
    </w:pPr>
    <w:rPr>
      <w:rFonts w:ascii="Cambria" w:cs="Cambria" w:eastAsia="Cambria" w:hAnsi="Cambria"/>
      <w:b w:val="1"/>
      <w:bCs w:val="1"/>
    </w:rPr>
  </w:style>
  <w:style w:type="paragraph" w:styleId="Title">
    <w:name w:val="Title"/>
    <w:basedOn w:val="Normal"/>
    <w:next w:val="Normal"/>
    <w:pPr>
      <w:jc w:val="center"/>
    </w:pPr>
    <w:rPr>
      <w:rFonts w:ascii="Arial" w:cs="Arial" w:eastAsia="Arial" w:hAnsi="Arial"/>
      <w:b w:val="1"/>
      <w:bCs w:val="1"/>
      <w:sz w:val="22"/>
      <w:szCs w:val="22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character" w:styleId="Heading1Char" w:customStyle="1">
    <w:name w:val="Heading 1 Char"/>
    <w:basedOn w:val="DefaultParagraphFont"/>
    <w:link w:val="Heading1"/>
    <w:uiPriority w:val="9"/>
    <w:locked w:val="1"/>
    <w:rsid w:val="00C81D57"/>
    <w:rPr>
      <w:rFonts w:ascii="Cambria" w:cs="Cambria" w:hAnsi="Cambria"/>
      <w:b w:val="1"/>
      <w:bCs w:val="1"/>
      <w:kern w:val="32"/>
      <w:sz w:val="32"/>
      <w:szCs w:val="32"/>
      <w:lang w:eastAsia="ro-RO" w:val="ro-RO"/>
    </w:rPr>
  </w:style>
  <w:style w:type="character" w:styleId="Heading2Char" w:customStyle="1">
    <w:name w:val="Heading 2 Char"/>
    <w:basedOn w:val="DefaultParagraphFont"/>
    <w:link w:val="Heading2"/>
    <w:uiPriority w:val="99"/>
    <w:locked w:val="1"/>
    <w:rsid w:val="00C81D57"/>
    <w:rPr>
      <w:rFonts w:ascii="Arial" w:cs="Arial" w:hAnsi="Arial"/>
      <w:b w:val="1"/>
      <w:bCs w:val="1"/>
      <w:i w:val="1"/>
      <w:iCs w:val="1"/>
      <w:sz w:val="28"/>
      <w:szCs w:val="28"/>
      <w:lang w:eastAsia="ro-RO" w:val="ro-RO"/>
    </w:rPr>
  </w:style>
  <w:style w:type="character" w:styleId="Heading3Char" w:customStyle="1">
    <w:name w:val="Heading 3 Char"/>
    <w:basedOn w:val="DefaultParagraphFont"/>
    <w:link w:val="Heading3"/>
    <w:uiPriority w:val="99"/>
    <w:locked w:val="1"/>
    <w:rsid w:val="00C81D57"/>
    <w:rPr>
      <w:rFonts w:ascii="Tahoma" w:cs="Tahoma" w:hAnsi="Tahoma"/>
      <w:b w:val="1"/>
      <w:bCs w:val="1"/>
      <w:color w:val="ffffff"/>
      <w:sz w:val="18"/>
      <w:szCs w:val="18"/>
    </w:rPr>
  </w:style>
  <w:style w:type="character" w:styleId="Heading4Char" w:customStyle="1">
    <w:name w:val="Heading 4 Char"/>
    <w:basedOn w:val="DefaultParagraphFont"/>
    <w:link w:val="Heading4"/>
    <w:uiPriority w:val="99"/>
    <w:locked w:val="1"/>
    <w:rsid w:val="0068330D"/>
    <w:rPr>
      <w:rFonts w:ascii="Calibri" w:cs="Calibri" w:hAnsi="Calibri"/>
      <w:b w:val="1"/>
      <w:bCs w:val="1"/>
      <w:sz w:val="28"/>
      <w:szCs w:val="28"/>
      <w:lang w:eastAsia="ro-RO" w:val="ro-RO"/>
    </w:rPr>
  </w:style>
  <w:style w:type="character" w:styleId="Heading5Char" w:customStyle="1">
    <w:name w:val="Heading 5 Char"/>
    <w:basedOn w:val="DefaultParagraphFont"/>
    <w:link w:val="Heading5"/>
    <w:uiPriority w:val="99"/>
    <w:locked w:val="1"/>
    <w:rsid w:val="0068330D"/>
    <w:rPr>
      <w:rFonts w:ascii="Calibri" w:cs="Calibri" w:hAnsi="Calibri"/>
      <w:b w:val="1"/>
      <w:bCs w:val="1"/>
      <w:i w:val="1"/>
      <w:iCs w:val="1"/>
      <w:sz w:val="26"/>
      <w:szCs w:val="26"/>
      <w:lang w:eastAsia="ro-RO" w:val="ro-RO"/>
    </w:rPr>
  </w:style>
  <w:style w:type="paragraph" w:styleId="Header">
    <w:name w:val="header"/>
    <w:basedOn w:val="Normal"/>
    <w:link w:val="HeaderChar"/>
    <w:uiPriority w:val="99"/>
    <w:rsid w:val="00C81D57"/>
    <w:pPr>
      <w:tabs>
        <w:tab w:val="center" w:pos="4536"/>
        <w:tab w:val="right" w:pos="9072"/>
      </w:tabs>
    </w:pPr>
  </w:style>
  <w:style w:type="character" w:styleId="HeaderChar" w:customStyle="1">
    <w:name w:val="Header Char"/>
    <w:basedOn w:val="DefaultParagraphFont"/>
    <w:link w:val="Header"/>
    <w:uiPriority w:val="99"/>
    <w:locked w:val="1"/>
    <w:rsid w:val="00C81D57"/>
    <w:rPr>
      <w:rFonts w:ascii="Times New Roman" w:cs="Times New Roman" w:hAnsi="Times New Roman"/>
      <w:sz w:val="24"/>
      <w:szCs w:val="24"/>
      <w:lang w:eastAsia="ro-RO" w:val="ro-RO"/>
    </w:rPr>
  </w:style>
  <w:style w:type="paragraph" w:styleId="Footer">
    <w:name w:val="footer"/>
    <w:basedOn w:val="Normal"/>
    <w:link w:val="FooterChar"/>
    <w:uiPriority w:val="99"/>
    <w:rsid w:val="00C81D57"/>
    <w:pPr>
      <w:tabs>
        <w:tab w:val="center" w:pos="4536"/>
        <w:tab w:val="right" w:pos="9072"/>
      </w:tabs>
    </w:pPr>
  </w:style>
  <w:style w:type="character" w:styleId="FooterChar" w:customStyle="1">
    <w:name w:val="Footer Char"/>
    <w:basedOn w:val="DefaultParagraphFont"/>
    <w:link w:val="Footer"/>
    <w:uiPriority w:val="99"/>
    <w:locked w:val="1"/>
    <w:rsid w:val="00C81D57"/>
    <w:rPr>
      <w:rFonts w:ascii="Times New Roman" w:cs="Times New Roman" w:hAnsi="Times New Roman"/>
      <w:sz w:val="24"/>
      <w:szCs w:val="24"/>
      <w:lang w:eastAsia="ro-RO" w:val="ro-RO"/>
    </w:rPr>
  </w:style>
  <w:style w:type="paragraph" w:styleId="BalloonText">
    <w:name w:val="Balloon Text"/>
    <w:basedOn w:val="Normal"/>
    <w:link w:val="BalloonTextChar"/>
    <w:uiPriority w:val="99"/>
    <w:semiHidden w:val="1"/>
    <w:rsid w:val="00C81D57"/>
    <w:rPr>
      <w:rFonts w:ascii="Tahoma" w:cs="Tahoma" w:hAnsi="Tahoma"/>
      <w:sz w:val="16"/>
      <w:szCs w:val="16"/>
    </w:rPr>
  </w:style>
  <w:style w:type="character" w:styleId="BalloonTextChar" w:customStyle="1">
    <w:name w:val="Balloon Text Char"/>
    <w:basedOn w:val="DefaultParagraphFont"/>
    <w:link w:val="BalloonText"/>
    <w:uiPriority w:val="99"/>
    <w:semiHidden w:val="1"/>
    <w:locked w:val="1"/>
    <w:rsid w:val="00C81D57"/>
    <w:rPr>
      <w:rFonts w:ascii="Tahoma" w:cs="Tahoma" w:hAnsi="Tahoma"/>
      <w:sz w:val="16"/>
      <w:szCs w:val="16"/>
      <w:lang w:eastAsia="ro-RO" w:val="ro-RO"/>
    </w:rPr>
  </w:style>
  <w:style w:type="character" w:styleId="Hyperlink">
    <w:name w:val="Hyperlink"/>
    <w:basedOn w:val="DefaultParagraphFont"/>
    <w:uiPriority w:val="99"/>
    <w:rsid w:val="00C81D57"/>
    <w:rPr>
      <w:color w:val="0000ff"/>
      <w:u w:val="single"/>
    </w:rPr>
  </w:style>
  <w:style w:type="character" w:styleId="Strong">
    <w:name w:val="Strong"/>
    <w:basedOn w:val="DefaultParagraphFont"/>
    <w:uiPriority w:val="22"/>
    <w:qFormat w:val="1"/>
    <w:rsid w:val="00C81D57"/>
    <w:rPr>
      <w:b w:val="1"/>
      <w:bCs w:val="1"/>
    </w:rPr>
  </w:style>
  <w:style w:type="character" w:styleId="autor" w:customStyle="1">
    <w:name w:val="autor"/>
    <w:basedOn w:val="DefaultParagraphFont"/>
    <w:uiPriority w:val="99"/>
    <w:rsid w:val="00C81D57"/>
  </w:style>
  <w:style w:type="character" w:styleId="Emphasis">
    <w:name w:val="Emphasis"/>
    <w:basedOn w:val="DefaultParagraphFont"/>
    <w:uiPriority w:val="99"/>
    <w:qFormat w:val="1"/>
    <w:rsid w:val="00C81D57"/>
    <w:rPr>
      <w:i w:val="1"/>
      <w:iCs w:val="1"/>
    </w:rPr>
  </w:style>
  <w:style w:type="table" w:styleId="TableGrid">
    <w:name w:val="Table Grid"/>
    <w:basedOn w:val="TableNormal"/>
    <w:uiPriority w:val="39"/>
    <w:rsid w:val="00927661"/>
    <w:rPr>
      <w:rFonts w:cs="Calibri"/>
      <w:sz w:val="20"/>
      <w:szCs w:val="20"/>
    </w:rPr>
    <w:tblPr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</w:tblPr>
  </w:style>
  <w:style w:type="character" w:styleId="PageNumber">
    <w:name w:val="page number"/>
    <w:basedOn w:val="DefaultParagraphFont"/>
    <w:uiPriority w:val="99"/>
    <w:rsid w:val="00BC6EA0"/>
  </w:style>
  <w:style w:type="paragraph" w:styleId="NormalWeb">
    <w:name w:val="Normal (Web)"/>
    <w:basedOn w:val="Normal"/>
    <w:uiPriority w:val="99"/>
    <w:rsid w:val="00DF6E13"/>
    <w:pPr>
      <w:spacing w:after="100" w:afterAutospacing="1" w:before="100" w:beforeAutospacing="1"/>
    </w:pPr>
    <w:rPr>
      <w:rFonts w:eastAsia="Calibri"/>
      <w:lang w:eastAsia="en-US" w:val="en-US"/>
    </w:rPr>
  </w:style>
  <w:style w:type="character" w:styleId="articol" w:customStyle="1">
    <w:name w:val="articol"/>
    <w:basedOn w:val="DefaultParagraphFont"/>
    <w:uiPriority w:val="99"/>
    <w:rsid w:val="00DF6E13"/>
  </w:style>
  <w:style w:type="character" w:styleId="alineat" w:customStyle="1">
    <w:name w:val="alineat"/>
    <w:basedOn w:val="DefaultParagraphFont"/>
    <w:uiPriority w:val="99"/>
    <w:rsid w:val="00DF6E13"/>
  </w:style>
  <w:style w:type="character" w:styleId="litera" w:customStyle="1">
    <w:name w:val="litera"/>
    <w:basedOn w:val="DefaultParagraphFont"/>
    <w:uiPriority w:val="99"/>
    <w:rsid w:val="00DF6E13"/>
  </w:style>
  <w:style w:type="character" w:styleId="preambul" w:customStyle="1">
    <w:name w:val="preambul"/>
    <w:basedOn w:val="DefaultParagraphFont"/>
    <w:uiPriority w:val="99"/>
    <w:rsid w:val="00DF6E13"/>
  </w:style>
  <w:style w:type="character" w:styleId="punct" w:customStyle="1">
    <w:name w:val="punct"/>
    <w:basedOn w:val="DefaultParagraphFont"/>
    <w:uiPriority w:val="99"/>
    <w:rsid w:val="00DF6E13"/>
  </w:style>
  <w:style w:type="character" w:styleId="paragraf" w:customStyle="1">
    <w:name w:val="paragraf"/>
    <w:basedOn w:val="DefaultParagraphFont"/>
    <w:uiPriority w:val="99"/>
    <w:rsid w:val="00DF6E13"/>
  </w:style>
  <w:style w:type="character" w:styleId="searchidx2" w:customStyle="1">
    <w:name w:val="search_idx_2"/>
    <w:basedOn w:val="DefaultParagraphFont"/>
    <w:uiPriority w:val="99"/>
    <w:rsid w:val="00DF6E13"/>
  </w:style>
  <w:style w:type="character" w:styleId="searchidx0" w:customStyle="1">
    <w:name w:val="search_idx_0"/>
    <w:basedOn w:val="DefaultParagraphFont"/>
    <w:uiPriority w:val="99"/>
    <w:rsid w:val="00DF6E13"/>
  </w:style>
  <w:style w:type="character" w:styleId="searchidx1" w:customStyle="1">
    <w:name w:val="search_idx_1"/>
    <w:basedOn w:val="DefaultParagraphFont"/>
    <w:uiPriority w:val="99"/>
    <w:rsid w:val="00DF6E13"/>
  </w:style>
  <w:style w:type="character" w:styleId="tabel" w:customStyle="1">
    <w:name w:val="tabel"/>
    <w:basedOn w:val="DefaultParagraphFont"/>
    <w:uiPriority w:val="99"/>
    <w:rsid w:val="00DF6E13"/>
  </w:style>
  <w:style w:type="paragraph" w:styleId="HTMLPreformatted">
    <w:name w:val="HTML Preformatted"/>
    <w:basedOn w:val="Normal"/>
    <w:link w:val="HTMLPreformattedChar"/>
    <w:uiPriority w:val="99"/>
    <w:rsid w:val="00DF6E1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cs="Courier New" w:eastAsia="Calibri" w:hAnsi="Courier New"/>
      <w:sz w:val="20"/>
      <w:szCs w:val="20"/>
      <w:lang w:eastAsia="en-US" w:val="en-US"/>
    </w:rPr>
  </w:style>
  <w:style w:type="character" w:styleId="HTMLPreformattedChar" w:customStyle="1">
    <w:name w:val="HTML Preformatted Char"/>
    <w:basedOn w:val="DefaultParagraphFont"/>
    <w:link w:val="HTMLPreformatted"/>
    <w:uiPriority w:val="99"/>
    <w:locked w:val="1"/>
    <w:rsid w:val="00650125"/>
    <w:rPr>
      <w:rFonts w:ascii="Courier New" w:cs="Courier New" w:hAnsi="Courier New"/>
      <w:sz w:val="20"/>
      <w:szCs w:val="20"/>
      <w:lang w:eastAsia="ro-RO" w:val="ro-RO"/>
    </w:rPr>
  </w:style>
  <w:style w:type="paragraph" w:styleId="ListParagraph">
    <w:name w:val="List Paragraph"/>
    <w:basedOn w:val="Normal"/>
    <w:uiPriority w:val="34"/>
    <w:qFormat w:val="1"/>
    <w:rsid w:val="000C2457"/>
    <w:pPr>
      <w:ind w:left="720"/>
      <w:contextualSpacing w:val="1"/>
    </w:pPr>
  </w:style>
  <w:style w:type="character" w:styleId="SubtitleChar" w:customStyle="1">
    <w:name w:val="Subtitle Char"/>
    <w:basedOn w:val="DefaultParagraphFont"/>
    <w:link w:val="Subtitle"/>
    <w:rsid w:val="009B3389"/>
    <w:rPr>
      <w:rFonts w:asciiTheme="minorHAnsi" w:cstheme="minorBidi" w:eastAsiaTheme="minorEastAsia" w:hAnsiTheme="minorHAnsi"/>
      <w:color w:val="5a5a5a" w:themeColor="text1" w:themeTint="0000A5"/>
      <w:spacing w:val="15"/>
      <w:lang w:eastAsia="ro-RO" w:val="ro-RO"/>
    </w:rPr>
  </w:style>
  <w:style w:type="character" w:styleId="Heading6Char" w:customStyle="1">
    <w:name w:val="Heading 6 Char"/>
    <w:basedOn w:val="DefaultParagraphFont"/>
    <w:link w:val="Heading6"/>
    <w:uiPriority w:val="9"/>
    <w:rsid w:val="000458CE"/>
    <w:rPr>
      <w:rFonts w:asciiTheme="majorHAnsi" w:eastAsiaTheme="majorEastAsia" w:hAnsiTheme="majorHAnsi"/>
      <w:b w:val="1"/>
      <w:sz w:val="24"/>
      <w:szCs w:val="20"/>
      <w:lang w:eastAsia="ro-RO" w:val="ro-RO"/>
    </w:rPr>
  </w:style>
  <w:style w:type="paragraph" w:styleId="FootnoteText">
    <w:name w:val="footnote text"/>
    <w:basedOn w:val="Normal"/>
    <w:link w:val="FootnoteTextChar"/>
    <w:uiPriority w:val="99"/>
    <w:semiHidden w:val="1"/>
    <w:unhideWhenUsed w:val="1"/>
    <w:rsid w:val="000458CE"/>
    <w:rPr>
      <w:rFonts w:asciiTheme="minorHAnsi" w:hAnsiTheme="minorHAnsi"/>
      <w:sz w:val="20"/>
      <w:szCs w:val="20"/>
      <w:lang w:eastAsia="en-US"/>
    </w:rPr>
  </w:style>
  <w:style w:type="character" w:styleId="FootnoteTextChar" w:customStyle="1">
    <w:name w:val="Footnote Text Char"/>
    <w:basedOn w:val="DefaultParagraphFont"/>
    <w:link w:val="FootnoteText"/>
    <w:uiPriority w:val="99"/>
    <w:semiHidden w:val="1"/>
    <w:rsid w:val="000458CE"/>
    <w:rPr>
      <w:rFonts w:eastAsia="Times New Roman" w:asciiTheme="minorHAnsi" w:hAnsiTheme="minorHAnsi"/>
      <w:sz w:val="20"/>
      <w:szCs w:val="20"/>
      <w:lang w:val="ro-RO"/>
    </w:rPr>
  </w:style>
  <w:style w:type="character" w:styleId="FootnoteReference">
    <w:name w:val="footnote reference"/>
    <w:basedOn w:val="DefaultParagraphFont"/>
    <w:uiPriority w:val="99"/>
    <w:semiHidden w:val="1"/>
    <w:unhideWhenUsed w:val="1"/>
    <w:rsid w:val="000458CE"/>
    <w:rPr>
      <w:rFonts w:cs="Times New Roman"/>
      <w:vertAlign w:val="superscript"/>
    </w:rPr>
  </w:style>
  <w:style w:type="table" w:styleId="TableGrid1" w:customStyle="1">
    <w:name w:val="Table Grid1"/>
    <w:basedOn w:val="TableNormal"/>
    <w:next w:val="TableGrid"/>
    <w:uiPriority w:val="59"/>
    <w:rsid w:val="000458CE"/>
    <w:rPr>
      <w:rFonts w:eastAsia="Times New Roman"/>
      <w:sz w:val="20"/>
      <w:szCs w:val="20"/>
    </w:rPr>
    <w:tblPr>
      <w:tblBorders>
        <w:top w:color="000000" w:space="0" w:sz="4" w:themeColor="text1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000000" w:space="0" w:sz="4" w:themeColor="text1" w:val="single"/>
        <w:insideV w:color="000000" w:space="0" w:sz="4" w:themeColor="text1" w:val="single"/>
      </w:tblBorders>
    </w:tblPr>
  </w:style>
  <w:style w:type="character" w:styleId="grey" w:customStyle="1">
    <w:name w:val="grey"/>
    <w:basedOn w:val="DefaultParagraphFont"/>
    <w:rsid w:val="000458CE"/>
    <w:rPr>
      <w:rFonts w:cs="Times New Roman"/>
    </w:rPr>
  </w:style>
  <w:style w:type="character" w:styleId="titlu" w:customStyle="1">
    <w:name w:val="titlu"/>
    <w:basedOn w:val="DefaultParagraphFont"/>
    <w:rsid w:val="000458CE"/>
    <w:rPr>
      <w:rFonts w:cs="Times New Roman"/>
    </w:rPr>
  </w:style>
  <w:style w:type="character" w:styleId="lead" w:customStyle="1">
    <w:name w:val="lead"/>
    <w:basedOn w:val="DefaultParagraphFont"/>
    <w:rsid w:val="000458CE"/>
    <w:rPr>
      <w:rFonts w:cs="Times New Roman"/>
    </w:rPr>
  </w:style>
  <w:style w:type="paragraph" w:styleId="NoSpacing">
    <w:name w:val="No Spacing"/>
    <w:uiPriority w:val="1"/>
    <w:qFormat w:val="1"/>
    <w:rsid w:val="000458CE"/>
    <w:rPr>
      <w:rFonts w:eastAsia="Times New Roman"/>
    </w:rPr>
  </w:style>
  <w:style w:type="paragraph" w:styleId="Default" w:customStyle="1">
    <w:name w:val="Default"/>
    <w:rsid w:val="000458CE"/>
    <w:pPr>
      <w:autoSpaceDE w:val="0"/>
      <w:autoSpaceDN w:val="0"/>
      <w:adjustRightInd w:val="0"/>
    </w:pPr>
    <w:rPr>
      <w:rFonts w:cs="Calibri" w:eastAsia="Times New Roman"/>
      <w:color w:val="000000"/>
      <w:sz w:val="24"/>
      <w:szCs w:val="24"/>
    </w:rPr>
  </w:style>
  <w:style w:type="character" w:styleId="articlecontent" w:customStyle="1">
    <w:name w:val="article_content"/>
    <w:basedOn w:val="DefaultParagraphFont"/>
    <w:rsid w:val="000458CE"/>
    <w:rPr>
      <w:rFonts w:cs="Times New Roman"/>
    </w:rPr>
  </w:style>
  <w:style w:type="character" w:styleId="TitleChar" w:customStyle="1">
    <w:name w:val="Title Char"/>
    <w:basedOn w:val="DefaultParagraphFont"/>
    <w:link w:val="Title"/>
    <w:uiPriority w:val="10"/>
    <w:rsid w:val="000458CE"/>
    <w:rPr>
      <w:rFonts w:ascii="Arial" w:hAnsi="Arial" w:eastAsiaTheme="majorEastAsia"/>
      <w:b w:val="1"/>
      <w:spacing w:val="-10"/>
      <w:kern w:val="28"/>
      <w:szCs w:val="56"/>
      <w:lang w:eastAsia="ro-RO" w:val="ro-RO"/>
    </w:rPr>
  </w:style>
  <w:style w:type="paragraph" w:styleId="TOCHeading">
    <w:name w:val="TOC Heading"/>
    <w:basedOn w:val="Heading1"/>
    <w:next w:val="Normal"/>
    <w:uiPriority w:val="39"/>
    <w:unhideWhenUsed w:val="1"/>
    <w:qFormat w:val="1"/>
    <w:rsid w:val="000458CE"/>
    <w:pPr>
      <w:keepLines w:val="1"/>
      <w:spacing w:after="0" w:line="259" w:lineRule="auto"/>
      <w:jc w:val="center"/>
      <w:outlineLvl w:val="9"/>
    </w:pPr>
    <w:rPr>
      <w:rFonts w:cs="Times New Roman" w:asciiTheme="majorHAnsi" w:eastAsiaTheme="majorEastAsia" w:hAnsiTheme="majorHAnsi"/>
      <w:b w:val="0"/>
      <w:bCs w:val="0"/>
      <w:color w:val="365f91" w:themeColor="accent1" w:themeShade="0000BF"/>
      <w:kern w:val="0"/>
      <w:lang w:eastAsia="en-US" w:val="en-US"/>
    </w:rPr>
  </w:style>
  <w:style w:type="paragraph" w:styleId="TOC1">
    <w:name w:val="toc 1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textAlignment w:val="baseline"/>
    </w:pPr>
    <w:rPr>
      <w:szCs w:val="20"/>
    </w:rPr>
  </w:style>
  <w:style w:type="paragraph" w:styleId="TOC2">
    <w:name w:val="toc 2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240"/>
      <w:textAlignment w:val="baseline"/>
    </w:pPr>
    <w:rPr>
      <w:szCs w:val="20"/>
    </w:rPr>
  </w:style>
  <w:style w:type="paragraph" w:styleId="TOC3">
    <w:name w:val="toc 3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480"/>
      <w:textAlignment w:val="baseline"/>
    </w:pPr>
    <w:rPr>
      <w:szCs w:val="20"/>
    </w:rPr>
  </w:style>
  <w:style w:type="paragraph" w:styleId="TOC4">
    <w:name w:val="toc 4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720"/>
      <w:textAlignment w:val="baseline"/>
    </w:pPr>
    <w:rPr>
      <w:szCs w:val="20"/>
    </w:rPr>
  </w:style>
  <w:style w:type="paragraph" w:styleId="TOC5">
    <w:name w:val="toc 5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960"/>
      <w:textAlignment w:val="baseline"/>
    </w:pPr>
    <w:rPr>
      <w:szCs w:val="20"/>
    </w:rPr>
  </w:style>
  <w:style w:type="paragraph" w:styleId="TOC6">
    <w:name w:val="toc 6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1200"/>
      <w:textAlignment w:val="baseline"/>
    </w:pPr>
    <w:rPr>
      <w:szCs w:val="20"/>
    </w:rPr>
  </w:style>
  <w:style w:type="paragraph" w:styleId="CommentText">
    <w:name w:val="annotation text"/>
    <w:basedOn w:val="Normal"/>
    <w:link w:val="CommentTextChar"/>
    <w:uiPriority w:val="99"/>
    <w:semiHidden w:val="1"/>
    <w:unhideWhenUsed w:val="1"/>
    <w:rsid w:val="000458CE"/>
    <w:pPr>
      <w:overflowPunct w:val="0"/>
      <w:autoSpaceDE w:val="0"/>
      <w:autoSpaceDN w:val="0"/>
      <w:adjustRightInd w:val="0"/>
      <w:textAlignment w:val="baseline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semiHidden w:val="1"/>
    <w:rsid w:val="000458CE"/>
    <w:rPr>
      <w:rFonts w:ascii="Times New Roman" w:eastAsia="Times New Roman" w:hAnsi="Times New Roman"/>
      <w:sz w:val="20"/>
      <w:szCs w:val="20"/>
      <w:lang w:eastAsia="ro-RO" w:val="ro-RO"/>
    </w:rPr>
  </w:style>
  <w:style w:type="character" w:styleId="CommentSubjectChar" w:customStyle="1">
    <w:name w:val="Comment Subject Char"/>
    <w:basedOn w:val="CommentTextChar"/>
    <w:link w:val="CommentSubject"/>
    <w:uiPriority w:val="99"/>
    <w:semiHidden w:val="1"/>
    <w:locked w:val="1"/>
    <w:rsid w:val="000458CE"/>
    <w:rPr>
      <w:rFonts w:ascii="Times New Roman" w:eastAsia="Times New Roman" w:hAnsi="Times New Roman"/>
      <w:b w:val="1"/>
      <w:bCs w:val="1"/>
      <w:sz w:val="20"/>
      <w:szCs w:val="20"/>
      <w:lang w:eastAsia="ro-RO" w:val="ro-RO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 w:val="1"/>
    <w:unhideWhenUsed w:val="1"/>
    <w:rsid w:val="000458CE"/>
    <w:rPr>
      <w:b w:val="1"/>
      <w:bCs w:val="1"/>
    </w:rPr>
  </w:style>
  <w:style w:type="character" w:styleId="CommentSubjectChar1" w:customStyle="1">
    <w:name w:val="Comment Subject Char1"/>
    <w:basedOn w:val="CommentTextChar"/>
    <w:uiPriority w:val="99"/>
    <w:semiHidden w:val="1"/>
    <w:rsid w:val="000458CE"/>
    <w:rPr>
      <w:rFonts w:ascii="Times New Roman" w:eastAsia="Times New Roman" w:hAnsi="Times New Roman"/>
      <w:b w:val="1"/>
      <w:bCs w:val="1"/>
      <w:sz w:val="20"/>
      <w:szCs w:val="20"/>
      <w:lang w:eastAsia="ro-RO" w:val="ro-RO"/>
    </w:rPr>
  </w:style>
  <w:style w:type="character" w:styleId="CommentSubjectChar11" w:customStyle="1">
    <w:name w:val="Comment Subject Char11"/>
    <w:basedOn w:val="CommentTextChar"/>
    <w:uiPriority w:val="99"/>
    <w:semiHidden w:val="1"/>
    <w:rsid w:val="000458CE"/>
    <w:rPr>
      <w:rFonts w:ascii="Times New Roman" w:cs="Times New Roman" w:eastAsia="Times New Roman" w:hAnsi="Times New Roman"/>
      <w:b w:val="1"/>
      <w:bCs w:val="1"/>
      <w:sz w:val="20"/>
      <w:szCs w:val="20"/>
      <w:lang w:eastAsia="ro-RO" w:val="ro-RO"/>
    </w:rPr>
  </w:style>
  <w:style w:type="table" w:styleId="GridTable1Light-Accent11" w:customStyle="1">
    <w:name w:val="Grid Table 1 Light - Accent 11"/>
    <w:basedOn w:val="TableNormal"/>
    <w:uiPriority w:val="46"/>
    <w:rsid w:val="000458CE"/>
    <w:rPr>
      <w:rFonts w:eastAsia="Times New Roman" w:asciiTheme="minorHAnsi" w:hAnsiTheme="minorHAnsi"/>
      <w:lang w:val="ro-RO"/>
    </w:rPr>
    <w:tblPr>
      <w:tblStyleRowBandSize w:val="1"/>
      <w:tblStyleColBandSize w:val="1"/>
      <w:tblBorders>
        <w:top w:color="b8cce4" w:space="0" w:sz="4" w:themeColor="accent1" w:themeTint="000066" w:val="single"/>
        <w:left w:color="b8cce4" w:space="0" w:sz="4" w:themeColor="accent1" w:themeTint="000066" w:val="single"/>
        <w:bottom w:color="b8cce4" w:space="0" w:sz="4" w:themeColor="accent1" w:themeTint="000066" w:val="single"/>
        <w:right w:color="b8cce4" w:space="0" w:sz="4" w:themeColor="accent1" w:themeTint="000066" w:val="single"/>
        <w:insideH w:color="b8cce4" w:space="0" w:sz="4" w:themeColor="accent1" w:themeTint="000066" w:val="single"/>
        <w:insideV w:color="b8cce4" w:space="0" w:sz="4" w:themeColor="accent1" w:themeTint="000066" w:val="single"/>
      </w:tblBorders>
    </w:tblPr>
    <w:tblStylePr w:type="firstRow">
      <w:rPr>
        <w:rFonts w:cs="Times New Roman"/>
        <w:b w:val="1"/>
        <w:bCs w:val="1"/>
      </w:rPr>
      <w:tblPr/>
      <w:tcPr>
        <w:tcBorders>
          <w:bottom w:color="95b3d7" w:space="0" w:sz="12" w:themeColor="accent1" w:themeTint="000099" w:val="single"/>
        </w:tcBorders>
      </w:tcPr>
    </w:tblStylePr>
    <w:tblStylePr w:type="lastRow">
      <w:rPr>
        <w:rFonts w:cs="Times New Roman"/>
        <w:b w:val="1"/>
        <w:bCs w:val="1"/>
      </w:rPr>
      <w:tblPr/>
      <w:tcPr>
        <w:tcBorders>
          <w:top w:color="95b3d7" w:space="0" w:sz="2" w:themeColor="accent1" w:themeTint="000099" w:val="double"/>
        </w:tcBorders>
      </w:tcPr>
    </w:tblStylePr>
    <w:tblStylePr w:type="firstCol">
      <w:rPr>
        <w:rFonts w:cs="Times New Roman"/>
        <w:b w:val="1"/>
        <w:bCs w:val="1"/>
      </w:rPr>
    </w:tblStylePr>
    <w:tblStylePr w:type="lastCol">
      <w:rPr>
        <w:rFonts w:cs="Times New Roman"/>
        <w:b w:val="1"/>
        <w:bCs w:val="1"/>
      </w:rPr>
    </w:tblStylePr>
  </w:style>
  <w:style w:type="character" w:styleId="UnresolvedMention">
    <w:name w:val="Unresolved Mention"/>
    <w:basedOn w:val="DefaultParagraphFont"/>
    <w:uiPriority w:val="99"/>
    <w:semiHidden w:val="1"/>
    <w:unhideWhenUsed w:val="1"/>
    <w:rsid w:val="000458CE"/>
    <w:rPr>
      <w:rFonts w:cs="Times New Roman"/>
      <w:color w:val="605e5c"/>
      <w:shd w:color="auto" w:fill="e1dfdd" w:val="clear"/>
    </w:rPr>
  </w:style>
  <w:style w:type="paragraph" w:styleId="Tabel0" w:customStyle="1">
    <w:name w:val="Tabel"/>
    <w:basedOn w:val="Normal"/>
    <w:qFormat w:val="1"/>
    <w:rsid w:val="000458CE"/>
    <w:pPr>
      <w:autoSpaceDE w:val="0"/>
      <w:autoSpaceDN w:val="0"/>
      <w:adjustRightInd w:val="0"/>
      <w:spacing w:after="120" w:line="276" w:lineRule="auto"/>
      <w:jc w:val="center"/>
    </w:pPr>
    <w:rPr>
      <w:rFonts w:ascii="Calibri" w:cs="Calibri" w:hAnsi="Calibri"/>
      <w:bCs w:val="1"/>
      <w:noProof w:val="1"/>
      <w:color w:val="548dd4" w:themeColor="text2" w:themeTint="000099"/>
      <w:sz w:val="20"/>
      <w:szCs w:val="18"/>
    </w:rPr>
  </w:style>
  <w:style w:type="paragraph" w:styleId="Raport-body-6after" w:customStyle="1">
    <w:name w:val="Raport-body-6after"/>
    <w:basedOn w:val="Normal"/>
    <w:qFormat w:val="1"/>
    <w:rsid w:val="000458CE"/>
    <w:pPr>
      <w:autoSpaceDE w:val="0"/>
      <w:autoSpaceDN w:val="0"/>
      <w:adjustRightInd w:val="0"/>
      <w:spacing w:after="120" w:before="120" w:line="288" w:lineRule="auto"/>
      <w:ind w:firstLine="720"/>
      <w:jc w:val="both"/>
    </w:pPr>
    <w:rPr>
      <w:rFonts w:ascii="Myriad Pro" w:cs="Calibri Light" w:hAnsi="Myriad Pro"/>
      <w:noProof w:val="1"/>
      <w:color w:val="3b4f63"/>
      <w:w w:val="90"/>
      <w:sz w:val="20"/>
      <w:szCs w:val="20"/>
    </w:rPr>
  </w:style>
  <w:style w:type="paragraph" w:styleId="Figuri" w:customStyle="1">
    <w:name w:val="Figuri"/>
    <w:basedOn w:val="Normal"/>
    <w:qFormat w:val="1"/>
    <w:rsid w:val="000458CE"/>
    <w:pPr>
      <w:spacing w:after="120" w:line="276" w:lineRule="auto"/>
      <w:jc w:val="center"/>
    </w:pPr>
    <w:rPr>
      <w:rFonts w:ascii="Calibri" w:cs="Calibri" w:hAnsi="Calibri"/>
      <w:i w:val="1"/>
      <w:color w:val="548dd4" w:themeColor="text2" w:themeTint="000099"/>
      <w:sz w:val="20"/>
      <w:szCs w:val="16"/>
    </w:rPr>
  </w:style>
  <w:style w:type="paragraph" w:styleId="Raport-body" w:customStyle="1">
    <w:name w:val="Raport-body"/>
    <w:basedOn w:val="Normal"/>
    <w:qFormat w:val="1"/>
    <w:rsid w:val="000458CE"/>
    <w:pPr>
      <w:autoSpaceDE w:val="0"/>
      <w:autoSpaceDN w:val="0"/>
      <w:adjustRightInd w:val="0"/>
      <w:spacing w:before="120" w:line="288" w:lineRule="auto"/>
      <w:ind w:firstLine="720"/>
      <w:jc w:val="both"/>
    </w:pPr>
    <w:rPr>
      <w:rFonts w:ascii="Myriad Pro" w:cs="Calibri Light" w:hAnsi="Myriad Pro"/>
      <w:noProof w:val="1"/>
      <w:color w:val="3b4f63"/>
      <w:w w:val="90"/>
      <w:sz w:val="20"/>
      <w:szCs w:val="20"/>
    </w:rPr>
  </w:style>
  <w:style w:type="character" w:styleId="apple-converted-space" w:customStyle="1">
    <w:name w:val="apple-converted-space"/>
    <w:basedOn w:val="DefaultParagraphFont"/>
    <w:rsid w:val="000458CE"/>
    <w:rPr>
      <w:rFonts w:cs="Times New Roman"/>
    </w:rPr>
  </w:style>
  <w:style w:type="paragraph" w:styleId="BodyA" w:customStyle="1">
    <w:name w:val="Body A"/>
    <w:rsid w:val="005C3E29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  <w:bar w:space="0" w:sz="0" w:val="nil"/>
      </w:pBdr>
    </w:pPr>
    <w:rPr>
      <w:rFonts w:ascii="Helvetica Neue" w:cs="Arial Unicode MS" w:eastAsia="Arial Unicode MS" w:hAnsi="Helvetica Neue"/>
      <w:color w:val="000000"/>
      <w:u w:color="000000"/>
      <w:bdr w:space="0" w:sz="0" w:val="nil"/>
      <w:lang w:eastAsia="en-GB" w:val="en-GB"/>
    </w:rPr>
  </w:style>
  <w:style w:type="character" w:styleId="FollowedHyperlink">
    <w:name w:val="FollowedHyperlink"/>
    <w:basedOn w:val="DefaultParagraphFont"/>
    <w:uiPriority w:val="99"/>
    <w:semiHidden w:val="1"/>
    <w:unhideWhenUsed w:val="1"/>
    <w:rsid w:val="00510990"/>
    <w:rPr>
      <w:color w:val="800080" w:themeColor="followedHyperlink"/>
      <w:u w:val="single"/>
    </w:rPr>
  </w:style>
  <w:style w:type="paragraph" w:styleId="Subtitle">
    <w:name w:val="Subtitle"/>
    <w:basedOn w:val="Normal"/>
    <w:next w:val="Normal"/>
    <w:pPr>
      <w:spacing w:after="160" w:lineRule="auto"/>
    </w:pPr>
    <w:rPr>
      <w:rFonts w:ascii="Calibri" w:cs="Calibri" w:eastAsia="Calibri" w:hAnsi="Calibri"/>
      <w:color w:val="5a5a5a"/>
      <w:sz w:val="22"/>
      <w:szCs w:val="22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footer" Target="footer2.xml"/><Relationship Id="rId11" Type="http://schemas.openxmlformats.org/officeDocument/2006/relationships/hyperlink" Target="https://doi.org/10.1007/s11115-022-00682-1" TargetMode="External"/><Relationship Id="rId22" Type="http://schemas.openxmlformats.org/officeDocument/2006/relationships/footer" Target="footer1.xml"/><Relationship Id="rId10" Type="http://schemas.openxmlformats.org/officeDocument/2006/relationships/hyperlink" Target="https://link.springer.com/book/10.1007/978-3-030-26135-1" TargetMode="External"/><Relationship Id="rId21" Type="http://schemas.openxmlformats.org/officeDocument/2006/relationships/footer" Target="footer3.xml"/><Relationship Id="rId13" Type="http://schemas.openxmlformats.org/officeDocument/2006/relationships/hyperlink" Target="https://www.shanlax.com/wp-content/uploads/SIJ_ASH_V7_N3_001.pdf" TargetMode="External"/><Relationship Id="rId12" Type="http://schemas.openxmlformats.org/officeDocument/2006/relationships/hyperlink" Target="https://www.cjraecluj.ro/wp-content/uploads/2017/11/Cod-deontologic-consilieri.pdf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legislatie.just.ro/Public/DetaliiDocument/292656" TargetMode="External"/><Relationship Id="rId15" Type="http://schemas.openxmlformats.org/officeDocument/2006/relationships/hyperlink" Target="https://link.springer.com/book/10.1007/978-3-030-26135-1" TargetMode="External"/><Relationship Id="rId14" Type="http://schemas.openxmlformats.org/officeDocument/2006/relationships/hyperlink" Target="https://legislatie.just.ro/Public/DetaliiDocument/292656" TargetMode="External"/><Relationship Id="rId17" Type="http://schemas.openxmlformats.org/officeDocument/2006/relationships/image" Target="media/image2.jpg"/><Relationship Id="rId16" Type="http://schemas.openxmlformats.org/officeDocument/2006/relationships/hyperlink" Target="https://doi.org/10.1007/s11115-022-00682-1" TargetMode="External"/><Relationship Id="rId5" Type="http://schemas.openxmlformats.org/officeDocument/2006/relationships/styles" Target="styles.xml"/><Relationship Id="rId19" Type="http://schemas.openxmlformats.org/officeDocument/2006/relationships/header" Target="header2.xml"/><Relationship Id="rId6" Type="http://schemas.openxmlformats.org/officeDocument/2006/relationships/customXml" Target="../customXML/item1.xml"/><Relationship Id="rId18" Type="http://schemas.openxmlformats.org/officeDocument/2006/relationships/header" Target="header1.xml"/><Relationship Id="rId7" Type="http://schemas.openxmlformats.org/officeDocument/2006/relationships/hyperlink" Target="https://www.cjraecluj.ro/wp-content/uploads/2017/11/Cod-deontologic-consilieri.pdf" TargetMode="External"/><Relationship Id="rId8" Type="http://schemas.openxmlformats.org/officeDocument/2006/relationships/hyperlink" Target="https://www.shanlax.com/wp-content/uploads/SIJ_ASH_V7_N3_001.pdf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Relationship Id="rId5" Type="http://schemas.openxmlformats.org/officeDocument/2006/relationships/font" Target="fonts/Tahoma-regular.ttf"/><Relationship Id="rId6" Type="http://schemas.openxmlformats.org/officeDocument/2006/relationships/font" Target="fonts/Tahoma-bold.ttf"/><Relationship Id="rId7" Type="http://schemas.openxmlformats.org/officeDocument/2006/relationships/font" Target="fonts/NotoSansSymbols-regular.ttf"/><Relationship Id="rId8" Type="http://schemas.openxmlformats.org/officeDocument/2006/relationships/font" Target="fonts/NotoSansSymbols-bold.ttf"/></Relationships>
</file>

<file path=word/_rels/footer2.xml.rels><?xml version="1.0" encoding="UTF-8" standalone="yes"?><Relationships xmlns="http://schemas.openxmlformats.org/package/2006/relationships"><Relationship Id="rId1" Type="http://schemas.openxmlformats.org/officeDocument/2006/relationships/hyperlink" Target="about:blank" TargetMode="External"/><Relationship Id="rId2" Type="http://schemas.openxmlformats.org/officeDocument/2006/relationships/image" Target="media/image4.png"/></Relationships>
</file>

<file path=word/_rels/footer3.xml.rels><?xml version="1.0" encoding="UTF-8" standalone="yes"?>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4.png"/><Relationship Id="rId2" Type="http://schemas.openxmlformats.org/officeDocument/2006/relationships/image" Target="media/image1.jpg"/><Relationship Id="rId3" Type="http://schemas.openxmlformats.org/officeDocument/2006/relationships/image" Target="media/image7.png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4.png"/><Relationship Id="rId2" Type="http://schemas.openxmlformats.org/officeDocument/2006/relationships/image" Target="media/image1.jpg"/><Relationship Id="rId3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v6c9c6tubv2CF0ksdQnbkxR/YvQ==">CgMxLjAyDWgucDJhM214enJlNmQ4AHIhMThOWTFaVXpYcTVMdWFGYmRHQ3VqbGd6c1hNdTJWYkdN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2026-02-03T16:44:00Z</dcterms:created>
  <dc:creator>Corina</dc:creator>
</cp:coreProperties>
</file>